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oaheading"/>
        <w:spacing w:before="240" w:after="120"/>
        <w:rPr>
          <w:sz w:val="22"/>
          <w:szCs w:val="22"/>
        </w:rPr>
      </w:pPr>
      <w:r>
        <w:rPr>
          <w:sz w:val="22"/>
          <w:szCs w:val="22"/>
        </w:rPr>
        <w:t>SPIS TREŚCI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left" w:pos="440" w:leader="none"/>
              <w:tab w:val="right" w:pos="9355" w:leader="dot"/>
            </w:tabs>
            <w:rPr/>
          </w:pPr>
          <w:r>
            <w:fldChar w:fldCharType="begin"/>
          </w:r>
          <w:r>
            <w:rPr>
              <w:rStyle w:val="Czeindeksu"/>
            </w:rPr>
            <w:instrText xml:space="preserve"> TOC \f \o "1-9" \h</w:instrText>
          </w:r>
          <w:r>
            <w:rPr>
              <w:rStyle w:val="Czeindeksu"/>
            </w:rPr>
            <w:fldChar w:fldCharType="separate"/>
          </w:r>
          <w:hyperlink w:anchor="__RefHeading___Toc150_956099852">
            <w:r>
              <w:rPr>
                <w:rStyle w:val="Czeindeksu"/>
              </w:rPr>
              <w:t>I.</w:t>
              <w:tab/>
              <w:t>OPIS TECHNICZNY</w:t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26_848453239">
            <w:r>
              <w:rPr>
                <w:rStyle w:val="Czeindeksu"/>
              </w:rPr>
              <w:t>1.</w:t>
              <w:tab/>
              <w:t>ZAKRES OPRACOWANIA</w:t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28_848453239">
            <w:r>
              <w:rPr>
                <w:rStyle w:val="Czeindeksu"/>
              </w:rPr>
              <w:t>2.</w:t>
              <w:tab/>
              <w:t>MATERIAŁY WYJŚCIOWE</w:t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548_826956218">
            <w:r>
              <w:rPr>
                <w:rStyle w:val="Czeindeksu"/>
              </w:rPr>
              <w:t>3.</w:t>
              <w:tab/>
              <w:t>STAN ISTNIEJĄCY</w:t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34_848453239">
            <w:r>
              <w:rPr>
                <w:rStyle w:val="Czeindeksu"/>
              </w:rPr>
              <w:t>4.</w:t>
              <w:tab/>
            </w:r>
            <w:r>
              <w:rPr>
                <w:rStyle w:val="Czeindeksu"/>
                <w:iCs w:val="false"/>
              </w:rPr>
              <w:t>PRZYŁĄCZE WODOCIĄGOWE</w:t>
            </w:r>
            <w:r>
              <w:rPr>
                <w:rStyle w:val="Czeindeksu"/>
              </w:rPr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850_2158529472">
            <w:r>
              <w:rPr>
                <w:rStyle w:val="Czeindeksu"/>
              </w:rPr>
              <w:t>5.</w:t>
              <w:tab/>
            </w:r>
            <w:r>
              <w:rPr>
                <w:rStyle w:val="Czeindeksu"/>
                <w:iCs w:val="false"/>
              </w:rPr>
              <w:t>ZEWNĘTRZNA INSTALACJA KANALIZACJI SANITARNEJ</w:t>
            </w:r>
            <w:r>
              <w:rPr>
                <w:rStyle w:val="Czeindeksu"/>
              </w:rPr>
              <w:tab/>
              <w:t>4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44_848453239_kopia_1">
            <w:r>
              <w:rPr>
                <w:rStyle w:val="Czeindeksu"/>
              </w:rPr>
              <w:t>6.</w:t>
              <w:tab/>
            </w:r>
            <w:r>
              <w:rPr>
                <w:rStyle w:val="Czeindeksu"/>
                <w:iCs w:val="false"/>
              </w:rPr>
              <w:t>ZEWNĘTRZNA INSTALACJA KANALIZACJI PRZEMYSŁOWEJ</w:t>
            </w:r>
            <w:r>
              <w:rPr>
                <w:rStyle w:val="Czeindeksu"/>
              </w:rPr>
              <w:tab/>
              <w:t>5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44_848453239">
            <w:r>
              <w:rPr>
                <w:rStyle w:val="Czeindeksu"/>
              </w:rPr>
              <w:t>7.</w:t>
              <w:tab/>
            </w:r>
            <w:r>
              <w:rPr>
                <w:rStyle w:val="Czeindeksu"/>
                <w:iCs w:val="false"/>
              </w:rPr>
              <w:t>ZEWNĘTRZNA INSTALACJA KANALIZACJI DESZCZOWEJ</w:t>
            </w:r>
            <w:r>
              <w:rPr>
                <w:rStyle w:val="Czeindeksu"/>
              </w:rPr>
              <w:tab/>
              <w:t>6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2729_2424461911">
            <w:r>
              <w:rPr>
                <w:rStyle w:val="Czeindeksu"/>
              </w:rPr>
              <w:t>8.</w:t>
              <w:tab/>
            </w:r>
            <w:r>
              <w:rPr>
                <w:rStyle w:val="Czeindeksu"/>
                <w:iCs w:val="false"/>
              </w:rPr>
              <w:t>PRZYŁĄCZE GAZU</w:t>
            </w:r>
            <w:r>
              <w:rPr>
                <w:rStyle w:val="Czeindeksu"/>
              </w:rPr>
              <w:tab/>
              <w:t>8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2731_2424461911">
            <w:r>
              <w:rPr>
                <w:rStyle w:val="Czeindeksu"/>
              </w:rPr>
              <w:t>9.</w:t>
              <w:tab/>
            </w:r>
            <w:r>
              <w:rPr>
                <w:rStyle w:val="Czeindeksu"/>
                <w:iCs w:val="false"/>
              </w:rPr>
              <w:t>WYKOPY I SZALOWANIE</w:t>
            </w:r>
            <w:r>
              <w:rPr>
                <w:rStyle w:val="Czeindeksu"/>
              </w:rPr>
              <w:tab/>
              <w:t>8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46_848453239">
            <w:r>
              <w:rPr>
                <w:rStyle w:val="Czeindeksu"/>
              </w:rPr>
              <w:t>10.</w:t>
              <w:tab/>
            </w:r>
            <w:r>
              <w:rPr>
                <w:rStyle w:val="Czeindeksu"/>
                <w:iCs w:val="false"/>
              </w:rPr>
              <w:t>UWAGI</w:t>
            </w:r>
            <w:r>
              <w:rPr>
                <w:rStyle w:val="Czeindeksu"/>
              </w:rPr>
              <w:tab/>
              <w:t>8</w:t>
            </w:r>
          </w:hyperlink>
          <w:r>
            <w:rPr>
              <w:rStyle w:val="Czeindeksu"/>
            </w:rPr>
            <w:fldChar w:fldCharType="end"/>
          </w:r>
        </w:p>
      </w:sdtContent>
    </w:sdt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417" w:right="1134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jc w:val="left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</w:r>
    </w:p>
    <w:p>
      <w:pPr>
        <w:pStyle w:val="Normal"/>
        <w:jc w:val="left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</w:r>
    </w:p>
    <w:p>
      <w:pPr>
        <w:pStyle w:val="Normal"/>
        <w:jc w:val="left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CZĘŚĆ RYSUNKOWA</w:t>
      </w:r>
    </w:p>
    <w:p>
      <w:pPr>
        <w:pStyle w:val="Normal"/>
        <w:rPr>
          <w:rFonts w:cs="Arial"/>
          <w:szCs w:val="22"/>
        </w:rPr>
      </w:pPr>
      <w:r>
        <w:rPr>
          <w:rFonts w:cs="Arial"/>
          <w:szCs w:val="22"/>
        </w:rPr>
      </w:r>
    </w:p>
    <w:tbl>
      <w:tblPr>
        <w:tblW w:w="936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6"/>
        <w:gridCol w:w="6503"/>
        <w:gridCol w:w="2020"/>
      </w:tblGrid>
      <w:tr>
        <w:trPr>
          <w:trHeight w:val="283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IZ1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Projekt zagospodarowania terenu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Symbol" w:cs="Arial"/>
                <w:szCs w:val="22"/>
              </w:rPr>
              <w:t>skala 1:500</w:t>
            </w:r>
          </w:p>
        </w:tc>
      </w:tr>
      <w:tr>
        <w:trPr>
          <w:trHeight w:val="283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auto"/>
              </w:rPr>
            </w:pPr>
            <w:r>
              <w:rPr>
                <w:rFonts w:cs="Arial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  <w:t>IZ1a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color w:val="auto"/>
              </w:rPr>
            </w:pPr>
            <w:r>
              <w:rPr>
                <w:color w:val="auto"/>
              </w:rPr>
              <w:t>Projekt zagospodarowania terenu - powiększenie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color w:val="auto"/>
              </w:rPr>
            </w:pPr>
            <w:r>
              <w:rPr>
                <w:rFonts w:eastAsia="Symbol" w:cs="Arial"/>
                <w:b w:val="false"/>
                <w:bCs w:val="false"/>
                <w:color w:val="auto"/>
                <w:sz w:val="22"/>
                <w:szCs w:val="22"/>
              </w:rPr>
              <w:t>skala 1:250</w:t>
            </w:r>
          </w:p>
        </w:tc>
      </w:tr>
      <w:tr>
        <w:trPr>
          <w:trHeight w:val="283" w:hRule="atLeast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IZ2</w:t>
            </w:r>
          </w:p>
        </w:tc>
        <w:tc>
          <w:tcPr>
            <w:tcW w:w="6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Profil przyłącza </w:t>
            </w: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wodociągowego</w:t>
            </w:r>
          </w:p>
        </w:tc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Symbol" w:cs="Arial"/>
                <w:szCs w:val="22"/>
              </w:rPr>
              <w:t>skala 1:100/250</w:t>
            </w:r>
          </w:p>
        </w:tc>
      </w:tr>
      <w:tr>
        <w:trPr>
          <w:trHeight w:val="283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IZ3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Profil zewnętrznej instalacji kanalizacji sanitarnej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Symbol" w:cs="Arial"/>
                <w:szCs w:val="22"/>
              </w:rPr>
              <w:t>skala 1:100/250</w:t>
            </w:r>
          </w:p>
        </w:tc>
      </w:tr>
      <w:tr>
        <w:trPr>
          <w:trHeight w:val="283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IZ4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Profil zewnętrznej instalacji kanalizacji przemysłowej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eastAsia="Symbol" w:cs="Arial"/>
                <w:szCs w:val="22"/>
              </w:rPr>
            </w:pPr>
            <w:r>
              <w:rPr>
                <w:rFonts w:eastAsia="Symbol" w:cs="Arial"/>
                <w:szCs w:val="22"/>
              </w:rPr>
              <w:t>skala 1:100/250</w:t>
            </w:r>
          </w:p>
        </w:tc>
      </w:tr>
      <w:tr>
        <w:trPr>
          <w:trHeight w:val="283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IZ5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Profile zewnętrznej instalacji kanalizacji deszczowej cz.1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eastAsia="Symbol" w:cs="Arial"/>
                <w:szCs w:val="22"/>
              </w:rPr>
            </w:pPr>
            <w:r>
              <w:rPr>
                <w:rFonts w:eastAsia="Symbol" w:cs="Arial"/>
                <w:szCs w:val="22"/>
              </w:rPr>
              <w:t>skala 1:100/250</w:t>
            </w:r>
          </w:p>
        </w:tc>
      </w:tr>
      <w:tr>
        <w:trPr>
          <w:trHeight w:val="283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IZ6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Profile zewnętrznej instalacji kanalizacji deszczowej cz.2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eastAsia="Symbol" w:cs="Arial"/>
                <w:szCs w:val="22"/>
              </w:rPr>
            </w:pPr>
            <w:r>
              <w:rPr>
                <w:rFonts w:eastAsia="Symbol" w:cs="Arial"/>
                <w:szCs w:val="22"/>
              </w:rPr>
              <w:t>skala 1:100/250</w:t>
            </w:r>
          </w:p>
        </w:tc>
      </w:tr>
      <w:tr>
        <w:trPr>
          <w:trHeight w:val="283" w:hRule="atLeast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IZ7</w:t>
            </w:r>
          </w:p>
        </w:tc>
        <w:tc>
          <w:tcPr>
            <w:tcW w:w="6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cs="Arial"/>
                <w:szCs w:val="22"/>
              </w:rPr>
            </w:pPr>
            <w:r>
              <w:rPr/>
              <w:t>Zbiornik retencyjny na wody opadowe</w:t>
            </w:r>
          </w:p>
        </w:tc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eastAsia="Symbol" w:cs="Arial"/>
                <w:szCs w:val="22"/>
              </w:rPr>
            </w:pPr>
            <w:r>
              <w:rPr/>
              <w:t>skala 1: 50</w:t>
            </w:r>
          </w:p>
        </w:tc>
      </w:tr>
      <w:tr>
        <w:trPr>
          <w:trHeight w:val="283" w:hRule="atLeast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IZ8</w:t>
            </w:r>
          </w:p>
        </w:tc>
        <w:tc>
          <w:tcPr>
            <w:tcW w:w="6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cs="Arial"/>
                <w:szCs w:val="22"/>
              </w:rPr>
            </w:pPr>
            <w:r>
              <w:rPr/>
              <w:t>Zbiornik bezodpływowy na ścieki sanitarne</w:t>
            </w:r>
          </w:p>
        </w:tc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eastAsia="Symbol" w:cs="Arial"/>
                <w:szCs w:val="22"/>
              </w:rPr>
            </w:pPr>
            <w:r>
              <w:rPr/>
              <w:t>skala 1: 50</w:t>
            </w:r>
          </w:p>
        </w:tc>
      </w:tr>
      <w:tr>
        <w:trPr>
          <w:trHeight w:val="283" w:hRule="atLeast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IZ9</w:t>
            </w:r>
          </w:p>
        </w:tc>
        <w:tc>
          <w:tcPr>
            <w:tcW w:w="6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cs="Arial"/>
                <w:szCs w:val="22"/>
              </w:rPr>
            </w:pPr>
            <w:r>
              <w:rPr/>
              <w:t>Zbiornik bezodpływowy na ścieki przemysłowe</w:t>
            </w:r>
          </w:p>
        </w:tc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eastAsia="Symbol" w:cs="Arial"/>
                <w:szCs w:val="22"/>
              </w:rPr>
            </w:pPr>
            <w:r>
              <w:rPr/>
              <w:t>skala 1: 50</w:t>
            </w:r>
          </w:p>
        </w:tc>
      </w:tr>
      <w:tr>
        <w:trPr>
          <w:trHeight w:val="283" w:hRule="atLeast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IZ10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Zestaw wodomierzowy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eastAsia="Symbol" w:cs="Arial"/>
                <w:szCs w:val="22"/>
              </w:rPr>
            </w:pPr>
            <w:r>
              <w:rPr>
                <w:rFonts w:eastAsia="Symbol" w:cs="Arial"/>
                <w:szCs w:val="22"/>
              </w:rPr>
              <w:t>skala 1: 20</w:t>
            </w:r>
          </w:p>
        </w:tc>
      </w:tr>
    </w:tbl>
    <w:p>
      <w:pPr>
        <w:pStyle w:val="Normal"/>
        <w:spacing w:lineRule="atLeast" w:line="10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</w:r>
    </w:p>
    <w:p>
      <w:pPr>
        <w:pStyle w:val="Normal"/>
        <w:spacing w:lineRule="atLeast" w:line="10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</w:r>
    </w:p>
    <w:p>
      <w:pPr>
        <w:sectPr>
          <w:type w:val="continuous"/>
          <w:pgSz w:w="11906" w:h="16838"/>
          <w:pgMar w:left="1417" w:right="1134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Heading1"/>
        <w:rPr/>
      </w:pPr>
      <w:bookmarkStart w:id="0" w:name="__RefHeading___Toc150_956099852"/>
      <w:bookmarkEnd w:id="0"/>
      <w:r>
        <w:rPr/>
        <w:t>OPIS TECHNICZNY</w:t>
      </w:r>
    </w:p>
    <w:p>
      <w:pPr>
        <w:pStyle w:val="Heading2"/>
        <w:rPr/>
      </w:pPr>
      <w:bookmarkStart w:id="1" w:name="__RefHeading___Toc26_848453239"/>
      <w:bookmarkEnd w:id="1"/>
      <w:r>
        <w:rPr/>
        <w:t>ZAKRES OPRACOWANIA</w:t>
      </w:r>
    </w:p>
    <w:p>
      <w:pPr>
        <w:pStyle w:val="Normal"/>
        <w:rPr/>
      </w:pPr>
      <w:r>
        <w:rPr>
          <w:rFonts w:cs="Times New Roman"/>
          <w:color w:val="000000"/>
          <w:szCs w:val="22"/>
        </w:rPr>
        <w:t xml:space="preserve">Opracowanie zawiera część graficzną i opisową projektu przyłączy i zewnętrznych instalacji wody, kanalizacji sanitarnej, kanalizacji deszczowej i gazu dla budowy stacji paliw płynnych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wraz z infrastrukturą towarzyszącą, obiektami i urządzeniami budowlanymi, w Markach, przy ul. Piłsudskiego 103, na działkach nr 14, 15, obręb ew. 0031, jednostka ew. 143402_1. </w:t>
      </w:r>
    </w:p>
    <w:p>
      <w:pPr>
        <w:pStyle w:val="Heading2"/>
        <w:rPr/>
      </w:pPr>
      <w:bookmarkStart w:id="2" w:name="__RefHeading___Toc28_848453239"/>
      <w:bookmarkEnd w:id="2"/>
      <w:r>
        <w:rPr/>
        <w:t>MATERIAŁY WYJŚCIOWE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</w:rPr>
      </w:pPr>
      <w:r>
        <w:rPr>
          <w:rFonts w:cs="Times New Roman"/>
          <w:szCs w:val="22"/>
        </w:rPr>
        <w:t>Projekt architektoniczny,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szCs w:val="22"/>
        </w:rPr>
        <w:t xml:space="preserve">Warunki </w:t>
      </w:r>
      <w:r>
        <w:rPr>
          <w:rFonts w:cs="Times New Roman"/>
          <w:color w:val="000000"/>
          <w:sz w:val="22"/>
          <w:szCs w:val="22"/>
          <w:shd w:fill="auto" w:val="clear"/>
          <w:lang w:eastAsia="zxx"/>
        </w:rPr>
        <w:t xml:space="preserve">techniczne przyłączenia do sieci wodociągowej, nr W/93/25, wydane przez Wodociąg Marecki Sp. z o.o. dnia 24.06.2025, 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color w:val="000000"/>
          <w:sz w:val="22"/>
          <w:szCs w:val="22"/>
          <w:shd w:fill="auto" w:val="clear"/>
          <w:lang w:eastAsia="zxx"/>
        </w:rPr>
        <w:t xml:space="preserve">Odmowa odbioru wód opadowych, nr RD-5.461.4.2023.1.MŁ, wydana przez Mazowiecki Zarząd Dróg Wojewódzkich w Warszawie dnia 13.03.2023, 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color w:val="000000"/>
          <w:szCs w:val="22"/>
        </w:rPr>
        <w:t xml:space="preserve">Zaktualizowana mapa do celów projektowych, </w:t>
      </w:r>
    </w:p>
    <w:p>
      <w:pPr>
        <w:pStyle w:val="Normal"/>
        <w:numPr>
          <w:ilvl w:val="0"/>
          <w:numId w:val="3"/>
        </w:numPr>
        <w:rPr>
          <w:rFonts w:cs="Times New Roman"/>
          <w:color w:val="000000"/>
          <w:szCs w:val="22"/>
        </w:rPr>
      </w:pPr>
      <w:r>
        <w:rPr>
          <w:rFonts w:cs="Times New Roman"/>
          <w:color w:val="000000"/>
          <w:szCs w:val="22"/>
        </w:rPr>
        <w:t xml:space="preserve">Obowiązujące przepisy i normatywy. </w:t>
      </w:r>
    </w:p>
    <w:p>
      <w:pPr>
        <w:pStyle w:val="Heading2"/>
        <w:rPr>
          <w:color w:val="000000"/>
        </w:rPr>
      </w:pPr>
      <w:bookmarkStart w:id="3" w:name="__RefHeading___Toc548_826956218"/>
      <w:bookmarkEnd w:id="3"/>
      <w:r>
        <w:rPr>
          <w:color w:val="000000"/>
        </w:rPr>
        <w:t>STAN ISTNIEJĄCY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  <w:lang w:eastAsia="ar-SA"/>
        </w:rPr>
        <w:t xml:space="preserve">Wzdłuż ul. Słonecznej, przebiega istniejąca sieć wodociągowa wA160, do której włączone będzie przyłącze wodociągowe dla projektowanej stacji paliw, oraz rozbudowywana sieć kanalizacji sanitarnej, do której w przyszłości będzie możliwe odprowadzenie ścieków sanitarnych.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  <w:lang w:eastAsia="ar-SA"/>
        </w:rPr>
        <w:t xml:space="preserve">Wzdłuż al. Marszałka Józefa Piłsudskiego oraz wzdłuż ul. Słonecznej przebiega istniejąca sieć kanalizacji deszczowej służąca do odwodnienia układu drogowego, ale została wydana odmowa odbioru wód opadowych z terenu projektowanej stacji do tej sieci. </w:t>
      </w:r>
    </w:p>
    <w:p>
      <w:pPr>
        <w:pStyle w:val="Heading2"/>
        <w:rPr>
          <w:iCs w:val="false"/>
        </w:rPr>
      </w:pPr>
      <w:bookmarkStart w:id="4" w:name="__RefHeading___Toc34_848453239"/>
      <w:bookmarkEnd w:id="4"/>
      <w:r>
        <w:rPr>
          <w:iCs w:val="false"/>
        </w:rPr>
        <w:t>PRZYŁĄCZE WODOCIĄGOWE</w:t>
      </w:r>
    </w:p>
    <w:p>
      <w:pPr>
        <w:pStyle w:val="Normal"/>
        <w:rPr>
          <w:color w:val="auto"/>
        </w:rPr>
      </w:pPr>
      <w:r>
        <w:rPr>
          <w:color w:val="000000"/>
          <w:shd w:fill="auto" w:val="clear"/>
          <w:lang w:eastAsia="ar-SA"/>
        </w:rPr>
        <w:t xml:space="preserve">Do projektowanej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stacji paliw woda doprowadzona będzie z istniejącej sieci wodociągowej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wA160 przebiegając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ej przez działkę nr 52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,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poprzez wybudowanie przyłącza wodociągowego zakończonego zestawem wodomierzowym w pomieszczeniu kotłowni w budynku stacji.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Woda przewidziana jest do celów bytowych pawilonu stacji oraz do celów technologicznych myjni automatycznej. </w:t>
      </w:r>
    </w:p>
    <w:p>
      <w:pPr>
        <w:pStyle w:val="Normal"/>
        <w:spacing w:lineRule="auto" w:line="240"/>
        <w:rPr>
          <w:color w:val="00A933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Zabezpieczenie p.poż. stacji paliw zapewnią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istniejące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 xml:space="preserve"> hydranty zlokalizowane na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działkach nr 118/19 i 5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>2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. </w:t>
      </w:r>
    </w:p>
    <w:p>
      <w:pPr>
        <w:pStyle w:val="Normal"/>
        <w:spacing w:lineRule="auto" w:line="240"/>
        <w:rPr>
          <w:color w:val="FF0000"/>
        </w:rPr>
      </w:pPr>
      <w:r>
        <w:rPr>
          <w:color w:val="FF0000"/>
        </w:rPr>
      </w:r>
    </w:p>
    <w:p>
      <w:pPr>
        <w:pStyle w:val="Normal"/>
        <w:spacing w:lineRule="auto" w:line="240"/>
        <w:rPr>
          <w:color w:val="FF0000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Włączenie do istniejącej sieci wodociągowej Ø 160 PE, w miejscu oznaczonym na rys. jako ”W1”, będzie</w:t>
      </w:r>
      <w:r>
        <w:rPr>
          <w:rFonts w:eastAsia="Times New Roman" w:cs="Arial"/>
          <w:b w:val="false"/>
          <w:bCs w:val="false"/>
          <w:color w:val="FF0000"/>
          <w:sz w:val="22"/>
          <w:szCs w:val="22"/>
          <w:shd w:fill="auto" w:val="clear"/>
          <w:lang w:val="pl-PL" w:eastAsia="ar-SA" w:bidi="ar-SA"/>
        </w:rPr>
        <w:t xml:space="preserve">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za pomocą trójnika siodłowego zgrzewanego elektrooporowo, De160 / De63. Za włączeniem zamontowana będzie, poprzez mufy elektrooporowe i tuleje kołnierzowe, zasuwa odcinająca DN 50, z </w:t>
      </w:r>
      <w:r>
        <w:rPr>
          <w:rFonts w:eastAsia="Times New Roman" w:cs="Calibri"/>
          <w:b w:val="false"/>
          <w:bCs w:val="false"/>
          <w:color w:val="000000"/>
          <w:sz w:val="22"/>
          <w:szCs w:val="24"/>
          <w:shd w:fill="auto" w:val="clear"/>
          <w:lang w:val="pl-PL" w:eastAsia="ar-SA" w:bidi="ar-SA"/>
        </w:rPr>
        <w:t>obudową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 i skrzynką uliczną. </w:t>
      </w:r>
    </w:p>
    <w:p>
      <w:pPr>
        <w:pStyle w:val="Normal"/>
        <w:spacing w:lineRule="auto" w:line="240"/>
        <w:rPr>
          <w:rFonts w:eastAsia="Times New Roman" w:cs="Arial"/>
          <w:b w:val="false"/>
          <w:bCs w:val="false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Arial"/>
          <w:b w:val="false"/>
          <w:bCs w:val="false"/>
          <w:sz w:val="22"/>
          <w:szCs w:val="22"/>
          <w:shd w:fill="auto" w:val="clear"/>
          <w:lang w:val="pl-PL" w:eastAsia="ar-SA" w:bidi="ar-SA"/>
        </w:rPr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Zasuwa odcinająca: </w:t>
      </w:r>
    </w:p>
    <w:p>
      <w:pPr>
        <w:pStyle w:val="Normal"/>
        <w:spacing w:lineRule="auto" w:line="240"/>
        <w:rPr>
          <w:color w:val="FF0000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zasuwa domowa kołnierzowa, z miękkim uszczelnieniem klina, równoprzelotowa,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PN16, </w:t>
      </w:r>
    </w:p>
    <w:p>
      <w:pPr>
        <w:pStyle w:val="Normal"/>
        <w:spacing w:lineRule="auto" w:line="240"/>
        <w:rPr>
          <w:color w:val="FF0000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wykonana z żeliwa sferoidalnego (min. EN-GJS 400 wg PN-EN 1563, dawniej GGG 40), z powłoką epoksydową zgodnie z normą GSK (min. 250 μm),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pełny przelot, bez przewężeń na wysokości klina,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długość zabudowy wg F5 – długa,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uszczelnienie pokrywy z korpusem za pomocą profilowanej uszczelki zagłębionej w korpusie,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śruby łączące korpus z pokrywą wpuszczane i zalewane masą na gorąco,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trzpień ze stali nierdzewnej walcowany na zimno,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klin z żeliwa sferoidalnego nawulkanizowany zewnętrznie i wewnętrznie powłoką EPDM z pełnym przelotem,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prowadzenie klina w prowadnicach będących integralną częścią korpusu zasuwy,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stała nakrętka klina wykonana z mosiądzu lub materiału porównywalnego,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obudowa do zasuwy teleskopowa L=(1050–1750)mm, wykonana z rury ocynkowanej w rurze ochronnej z PE z uniwersalnym kołpakiem górnym oraz trwałym oznakowaniem na rurze wymiarów zasuwy i długości przedłużacza,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skrzynka zasuwy z korpusem z materiału typu PA lub PE, z wieczkiem żeliwnym z wtopioną wkładką stalową,</w:t>
      </w:r>
    </w:p>
    <w:p>
      <w:pPr>
        <w:pStyle w:val="Normal"/>
        <w:spacing w:lineRule="auto" w:line="240"/>
        <w:rPr>
          <w:color w:val="FF0000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–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skrzynkę zasuwy należy zabezpieczyć przed osiadaniem np. poprzez obrukowanie lub utwardzenie tłuczniem 1,0 x 1,0 m.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/>
      </w:pPr>
      <w:r>
        <w:rPr>
          <w:shd w:fill="auto" w:val="clear"/>
          <w:lang w:eastAsia="ar-SA"/>
        </w:rPr>
        <w:t xml:space="preserve">Przyłącze projektuje się z rur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xx" w:bidi="ar-SA"/>
        </w:rPr>
        <w:t>PE 100 SDR 11 PN16</w:t>
      </w:r>
      <w:r>
        <w:rPr>
          <w:rFonts w:cs="Times New Roman"/>
          <w:sz w:val="22"/>
          <w:szCs w:val="22"/>
          <w:shd w:fill="auto" w:val="clear"/>
          <w:lang w:eastAsia="ar-SA"/>
        </w:rPr>
        <w:t>,</w:t>
      </w:r>
      <w:r>
        <w:rPr>
          <w:shd w:fill="auto" w:val="clear"/>
          <w:lang w:eastAsia="ar-SA"/>
        </w:rPr>
        <w:t xml:space="preserve"> o średnicy De 63 mm, łączonych przez zgrzewanie elektrooporowe. </w:t>
      </w:r>
    </w:p>
    <w:p>
      <w:pPr>
        <w:pStyle w:val="Normal"/>
        <w:rPr/>
      </w:pPr>
      <w:r>
        <w:rPr>
          <w:shd w:fill="auto" w:val="clear"/>
          <w:lang w:eastAsia="ar-SA"/>
        </w:rPr>
        <w:t xml:space="preserve">Prędkość przepływu chwilowego maksymalnego w rurze wyniesie 1,0 m/s.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rPr>
          <w:color w:val="auto"/>
        </w:rPr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Przejście przyłącza pod 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ul. Słoneczną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 należy 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wykonać w technologii bezrozkopowej,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 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np. metodą przewiertu sterowanego.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Przewiert pod drogą będzie wykonany rurą osłonową przez którą przeprowadzona będzie właściwa rura wodociągowa de63PE. 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Jako rurę osłonową należy zastosować rury 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PE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 SDR11, o średnicy De 125. Rurę przewodową należy wprowadzać do rury osłonowej na płozach dystansujących. Zakończenie rury osłonowej należy uszczelnić z obu stron manszetami uszczelniającymi.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Przed przystąpieniem do wykonywania robót ziemnych wytyczona będzie oś trasy rurociągu.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Dla przeprowadzenia przyłącza metodą przewiertu sterowanego konieczne będzie wykonanie komory (studni) startowej oraz komory (studni) końcowej. Komora startowa będzie wykonana na terenie stacji paliw, komora końcowa w sąsiedztwie miejsca wpięcia do istniejącej sieci wodociągowej. 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Dno komór powinno być zlokalizowane 30-50cm poniżej dna rury przewiertowej.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Wykop dla wykonania komór będzie zabezpieczony zgodnie z Rozporządzeniem Ministra Infrastruktury z dnia 6.02.2003r. w sprawie bezpieczeństwa i higieny pracy podczas wykonywania robót budowlanych (Dz. U. Nr 47, poz. 401) oraz PN-B-10736, PN-B-06050, PN-EN 1610.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Przed rozpoczęciem przewiertu wykonany będzie ręczny przekop kontrolny w celu lokalizacji istniejącego uzbrojenia podziemnego.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Wykop będzie wykonany w miejscu usytuowania komór startowej i końcowej.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Metody wykonania robót wykopu pod komory – ręczne.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Wykopy po komorach będą zasypane mechanicznie z zagęszczeniem mechanicznym, z wyjątkiem miejsc kolizyjnych, które będą zasypane ręcznie, również z zagęszczeniem.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W czasie wykonywania wykopów w miejscach dostępnych dla osób niezatrudnionych przy tych robotach wokół wykopów pozostawionych na czas zmroku i w nocy ustawione będą balustrady oraz ustawione światło ostrzegawcze.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Po wykonaniu prac teren zostanie przywrócony do stanu pierwotnego i uporządkowany.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rPr/>
      </w:pPr>
      <w:r>
        <w:rPr>
          <w:shd w:fill="auto" w:val="clear"/>
          <w:lang w:eastAsia="ar-SA"/>
        </w:rPr>
        <w:t xml:space="preserve">Przyłącze zostanie wprowadzone do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pomieszczenia kotłowni w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>projektowanym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 budynku stacji</w:t>
      </w:r>
      <w:r>
        <w:rPr>
          <w:shd w:fill="auto" w:val="clear"/>
          <w:lang w:eastAsia="ar-SA"/>
        </w:rPr>
        <w:t xml:space="preserve">, gdzie zainstalowany zostanie zestaw wodomierzowy, w którego skład wchodzić będą: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cs="Times New Roman"/>
          <w:color w:val="auto"/>
          <w:szCs w:val="22"/>
        </w:rPr>
        <w:t xml:space="preserve">zawory odcinające kulowe DN 50,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cs="Times New Roman"/>
          <w:color w:val="auto"/>
          <w:szCs w:val="22"/>
        </w:rPr>
        <w:t>wodomierz elektromagnetyczny DN 32, typu iPERL firmy SENSUS, o ciągłym strumieniu objętości Q3 = 10,0 m</w:t>
      </w:r>
      <w:r>
        <w:rPr>
          <w:rFonts w:cs="Arial"/>
          <w:color w:val="auto"/>
          <w:szCs w:val="22"/>
          <w:vertAlign w:val="superscript"/>
          <w:lang w:eastAsia="ar-SA"/>
        </w:rPr>
        <w:t>3</w:t>
      </w:r>
      <w:r>
        <w:rPr>
          <w:rFonts w:cs="Times New Roman"/>
          <w:color w:val="auto"/>
          <w:szCs w:val="22"/>
        </w:rPr>
        <w:t xml:space="preserve">/h, z odczytem radiowym,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cs="Times New Roman"/>
          <w:color w:val="auto"/>
          <w:szCs w:val="22"/>
        </w:rPr>
        <w:t xml:space="preserve">filtr siatkowy do wody DN 50,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zawór antyskażeniowy klasy BA DN 50. </w:t>
      </w:r>
    </w:p>
    <w:p>
      <w:pPr>
        <w:pStyle w:val="Normal"/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</w:r>
    </w:p>
    <w:p>
      <w:pPr>
        <w:pStyle w:val="Normal"/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Przed i za wodomierzem należy zainstalować proste odcinki zgodnie z DTR wodomierza.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Zestaw wodomierzowy mocować do ścian lub posadzki za pomocą podpór z kształtowników stalowych.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Wodomierz montować na konsoli wodomierzowej ze stali nierdzewnej, np. DN 32 L-260 firmy EWE. 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  <w:t xml:space="preserve">Przejścia przewodów przez ściany i stropy wykonać jako szczelne w rurze osłonowej. 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  <w:t xml:space="preserve">Pomieszczenie z wodomierzem będzie ogrzewane grzejnikiem i odwadniane za pomocą wpustu podłogowego. 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color w:val="auto"/>
        </w:rPr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color w:val="auto"/>
        </w:rPr>
        <w:t>Zawór kulowy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dławica kulowa,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materiał: mosiądz z niklowaniem powierzchni,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ciśnienie robocze PN30,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uchwyt: rączka,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podłączenia gwintowane W-Z,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materiał uszczelnień PTFE.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color w:val="auto"/>
        </w:rPr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color w:val="auto"/>
        </w:rPr>
        <w:t>Płytka montażowa zestawu wykonana z profili stalowych nierdzewnych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grubość minimalna 2,5mm,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z otwartymi, przestawnymi ramionami nośnymi o grubości 3mm,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stal nierdzewna kwasoodporna,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z nakrętkami kołpakowymi,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z rowkiem teowym,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długość wbudowania wodomierza dostosowana do liczników krajowych oraz zagranicznych,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przestawność ramion 95-145 mm.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color w:val="auto"/>
        </w:rPr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  <w:t>Na głównym doprowadzeniu instalacji wewnętrznej wody do myjni, w pomieszczeniu technicznym, będzie zamontowany dodatkowy zestaw wodomierzowy, do opomiarowania wody zużywanej w myjni, z wodomierzem DN25 o ciągłym strumieniu objętości Q3=6,3m</w:t>
      </w: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  <w:t xml:space="preserve">/h, filtrem siatkowym DN32, zaworem antyskażeniowym klasy BA DN32 i zaworami odcinającymi DN32.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Projektowane przewody przyłącza wodociągowego będą prowadzone na podsypce z piasku grubości 20 cm. </w:t>
      </w:r>
    </w:p>
    <w:p>
      <w:pPr>
        <w:pStyle w:val="Normal"/>
        <w:rPr>
          <w:color w:val="auto"/>
        </w:rPr>
      </w:pPr>
      <w:r>
        <w:rPr>
          <w:color w:val="000000"/>
          <w:shd w:fill="auto" w:val="clear"/>
          <w:lang w:eastAsia="ar-SA"/>
        </w:rPr>
        <w:t>Trasę wykonanego wodociągu należy oznaczyć taśmą lokalizacyjno-ostrzegawczą koloru niebieskiego o szerokości 200 mm z wtopioną</w:t>
      </w:r>
      <w:r>
        <w:rPr>
          <w:rFonts w:eastAsia="Times New Roman" w:cs="Calibri"/>
          <w:color w:val="000000"/>
          <w:sz w:val="22"/>
          <w:szCs w:val="24"/>
          <w:shd w:fill="auto" w:val="clear"/>
          <w:lang w:val="pl-PL" w:eastAsia="ar-SA" w:bidi="ar-SA"/>
        </w:rPr>
        <w:t xml:space="preserve">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wkładką metalową</w:t>
      </w:r>
      <w:r>
        <w:rPr>
          <w:rFonts w:eastAsia="Times New Roman" w:cs="Calibri"/>
          <w:color w:val="000000"/>
          <w:sz w:val="22"/>
          <w:szCs w:val="24"/>
          <w:shd w:fill="auto" w:val="clear"/>
          <w:lang w:val="pl-PL" w:eastAsia="ar-SA" w:bidi="ar-SA"/>
        </w:rPr>
        <w:t>,</w:t>
      </w:r>
      <w:r>
        <w:rPr>
          <w:color w:val="000000"/>
          <w:shd w:fill="auto" w:val="clear"/>
          <w:lang w:eastAsia="ar-SA"/>
        </w:rPr>
        <w:t xml:space="preserve"> wyprowadzoną do skrzynki zasuwy. Taśmę należy ułożyć 30 cm nad grzbietem rury.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W miejscu wpięcia do sieci pod armaturę należy zastosować blok podporowy, zgodnie z normą PN-B-10725:1997. </w:t>
      </w:r>
    </w:p>
    <w:p>
      <w:pPr>
        <w:pStyle w:val="Normal"/>
        <w:rPr>
          <w:color w:val="auto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Lokalizacja armatury powinna być oznakowana w terenie przy pomocy tabliczek informacyjnych z domiarami do punktów stałych, zgodnie z PN-86/B-09700, umocowanych na obiektach stałych (ogrodzenie, słupek, ściana budynku). Należy stosować tabliczki z tworzyw sztucznych typu „D” z wciskanymi symbolami. </w:t>
      </w:r>
    </w:p>
    <w:p>
      <w:pPr>
        <w:pStyle w:val="Normal"/>
        <w:rPr>
          <w:shd w:fill="auto" w:val="clear"/>
          <w:lang w:eastAsia="ar-SA"/>
        </w:rPr>
      </w:pPr>
      <w:r>
        <w:rPr>
          <w:rFonts w:cs="Arial"/>
          <w:sz w:val="22"/>
          <w:szCs w:val="22"/>
          <w:shd w:fill="auto" w:val="clear"/>
          <w:lang w:eastAsia="ar-SA"/>
        </w:rPr>
        <w:t>Po ułożeniu rur</w:t>
      </w:r>
      <w:r>
        <w:rPr>
          <w:shd w:fill="auto" w:val="clear"/>
          <w:lang w:eastAsia="ar-SA"/>
        </w:rPr>
        <w:t xml:space="preserve"> należy wykonać próbę szczelności zgodnie z wymaganiami normy PN-81/B-10725. Po uzyskaniu pozytywnych wyników próby szczelności należy przewody poddać płukaniu czystą wodą wodociągową, dezynfekcji i ponownemu płukaniu. Przed złączeniem z siecią miejską należy uzyskać pozytywny wynik badania wody. Próbkę do badań wody powinien pobierać upoważniony pracownik Sanepid.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>Stosowane rury i kształtki powinny posiadać wymagane certyfikaty, aprobaty techniczne i świad</w:t>
      </w:r>
      <w:r>
        <w:rPr>
          <w:color w:val="000000"/>
          <w:shd w:fill="auto" w:val="clear"/>
          <w:lang w:eastAsia="ar-SA"/>
        </w:rPr>
        <w:t xml:space="preserve">ectwa dopuszczenia do stosowania oraz atesty Państwowego Zakładu Higieny. </w:t>
      </w: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Należy stosować materiały I klasy jakości. </w:t>
      </w:r>
    </w:p>
    <w:p>
      <w:pPr>
        <w:pStyle w:val="Normal"/>
        <w:rPr>
          <w:color w:val="auto"/>
        </w:rPr>
      </w:pPr>
      <w:r>
        <w:rPr>
          <w:color w:val="000000"/>
          <w:shd w:fill="auto" w:val="clear"/>
          <w:lang w:eastAsia="ar-SA"/>
        </w:rPr>
        <w:t xml:space="preserve">Ułożone przyłącze wody przed zasypaniem należy zgłosić do pomiaru geodezyjnego i odbioru technicznego.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rPr>
          <w:color w:val="auto"/>
        </w:rPr>
      </w:pPr>
      <w:r>
        <w:rPr>
          <w:b/>
          <w:bCs/>
          <w:color w:val="000000"/>
          <w:shd w:fill="auto" w:val="clear"/>
          <w:lang w:eastAsia="ar-SA"/>
        </w:rPr>
        <w:t xml:space="preserve">Zapotrzebowanie projektowanej stacji paliw z myjnią na wodę wyniesie: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Qmax.s. bytowe = 1,1 dm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/s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Qmax.s. technologiczne = 1,0 dm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/s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Łącznie Qmax.s. = 2,1 dm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/s</w:t>
      </w:r>
    </w:p>
    <w:p>
      <w:pPr>
        <w:pStyle w:val="Normal"/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</w:r>
    </w:p>
    <w:p>
      <w:pPr>
        <w:pStyle w:val="Normal"/>
        <w:rPr>
          <w:rFonts w:cs="Arial"/>
          <w:b/>
          <w:bCs/>
          <w:color w:val="auto"/>
          <w:szCs w:val="22"/>
          <w:lang w:eastAsia="ar-SA"/>
        </w:rPr>
      </w:pPr>
      <w:r>
        <w:rPr>
          <w:rFonts w:cs="Arial"/>
          <w:b/>
          <w:bCs/>
          <w:color w:val="auto"/>
          <w:szCs w:val="22"/>
          <w:lang w:eastAsia="ar-SA"/>
        </w:rPr>
        <w:t xml:space="preserve">Dobór wodomierza </w:t>
      </w:r>
    </w:p>
    <w:p>
      <w:pPr>
        <w:pStyle w:val="Normal"/>
        <w:rPr>
          <w:rFonts w:cs="Arial"/>
          <w:color w:val="auto"/>
          <w:szCs w:val="22"/>
          <w:lang w:eastAsia="ar-SA"/>
        </w:rPr>
      </w:pPr>
      <w:r>
        <w:rPr>
          <w:rFonts w:cs="Arial"/>
          <w:color w:val="auto"/>
          <w:szCs w:val="22"/>
          <w:lang w:eastAsia="ar-SA"/>
        </w:rPr>
        <w:t xml:space="preserve">qs &lt;= Q3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  <w:lang w:eastAsia="ar-SA"/>
        </w:rPr>
        <w:t>Łączne maksymaln</w:t>
      </w:r>
      <w:r>
        <w:rPr>
          <w:rFonts w:cs="Times New Roman"/>
          <w:color w:val="auto"/>
          <w:szCs w:val="22"/>
        </w:rPr>
        <w:t xml:space="preserve">e zużycie wody dla celów bytowych projektowanej stacji paliw i celów technologicznych projektowanej myjni wyniesie </w:t>
      </w:r>
      <w:r>
        <w:rPr>
          <w:rFonts w:cs="Arial"/>
          <w:color w:val="auto"/>
          <w:szCs w:val="22"/>
          <w:lang w:eastAsia="ar-SA"/>
        </w:rPr>
        <w:t>2,1 dm</w:t>
      </w:r>
      <w:r>
        <w:rPr>
          <w:rFonts w:cs="Arial"/>
          <w:color w:val="auto"/>
          <w:szCs w:val="22"/>
          <w:vertAlign w:val="superscript"/>
          <w:lang w:eastAsia="ar-SA"/>
        </w:rPr>
        <w:t>3</w:t>
      </w:r>
      <w:r>
        <w:rPr>
          <w:rFonts w:cs="Arial"/>
          <w:color w:val="auto"/>
          <w:szCs w:val="22"/>
          <w:lang w:eastAsia="ar-SA"/>
        </w:rPr>
        <w:t>/s. Stąd maksymalny przepływ obliczeniowy wyniesie 7,5 m</w:t>
      </w:r>
      <w:r>
        <w:rPr>
          <w:rFonts w:cs="Arial"/>
          <w:color w:val="auto"/>
          <w:szCs w:val="22"/>
          <w:vertAlign w:val="superscript"/>
          <w:lang w:eastAsia="ar-SA"/>
        </w:rPr>
        <w:t>3</w:t>
      </w:r>
      <w:r>
        <w:rPr>
          <w:rFonts w:cs="Arial"/>
          <w:color w:val="auto"/>
          <w:szCs w:val="22"/>
          <w:lang w:eastAsia="ar-SA"/>
        </w:rPr>
        <w:t xml:space="preserve">/h. </w:t>
      </w:r>
    </w:p>
    <w:p>
      <w:pPr>
        <w:pStyle w:val="Normal"/>
        <w:rPr/>
      </w:pPr>
      <w:r>
        <w:rPr>
          <w:rFonts w:cs="Arial"/>
          <w:color w:val="auto"/>
          <w:szCs w:val="22"/>
          <w:lang w:eastAsia="ar-SA"/>
        </w:rPr>
        <w:t>Dla qs = 7,5 m</w:t>
      </w:r>
      <w:r>
        <w:rPr>
          <w:rFonts w:cs="Arial"/>
          <w:color w:val="auto"/>
          <w:szCs w:val="22"/>
          <w:vertAlign w:val="superscript"/>
          <w:lang w:eastAsia="ar-SA"/>
        </w:rPr>
        <w:t>3</w:t>
      </w:r>
      <w:r>
        <w:rPr>
          <w:rFonts w:cs="Arial"/>
          <w:color w:val="auto"/>
          <w:szCs w:val="22"/>
          <w:lang w:eastAsia="ar-SA"/>
        </w:rPr>
        <w:t>/h dobrano wodomierz DN 25 o ciągłym strumieniu objętości Q3 = 10,0 m</w:t>
      </w:r>
      <w:r>
        <w:rPr>
          <w:rFonts w:cs="Arial"/>
          <w:color w:val="auto"/>
          <w:szCs w:val="22"/>
          <w:vertAlign w:val="superscript"/>
          <w:lang w:eastAsia="ar-SA"/>
        </w:rPr>
        <w:t>3</w:t>
      </w:r>
      <w:r>
        <w:rPr>
          <w:rFonts w:cs="Arial"/>
          <w:color w:val="auto"/>
          <w:szCs w:val="22"/>
          <w:lang w:eastAsia="ar-SA"/>
        </w:rPr>
        <w:t xml:space="preserve">/h. </w:t>
      </w:r>
      <w:r>
        <w:rPr>
          <w:rFonts w:cs="Arial"/>
          <w:color w:val="000000"/>
          <w:szCs w:val="22"/>
          <w:lang w:eastAsia="ar-SA"/>
        </w:rPr>
        <w:t xml:space="preserve"> </w:t>
      </w:r>
    </w:p>
    <w:p>
      <w:pPr>
        <w:pStyle w:val="Heading2"/>
        <w:rPr/>
      </w:pPr>
      <w:bookmarkStart w:id="5" w:name="__RefHeading___Toc850_2158529472"/>
      <w:bookmarkEnd w:id="5"/>
      <w:r>
        <w:rPr>
          <w:iCs w:val="false"/>
          <w:color w:val="000000"/>
        </w:rPr>
        <w:t>ZEWNĘTRZNA INSTALACJA KANALIZACJI SANITARNEJ</w:t>
      </w:r>
    </w:p>
    <w:p>
      <w:pPr>
        <w:pStyle w:val="Normal"/>
        <w:spacing w:lineRule="auto" w:line="240"/>
        <w:rPr>
          <w:color w:val="2A6099"/>
        </w:rPr>
      </w:pPr>
      <w:r>
        <w:rPr>
          <w:rFonts w:cs="Arial"/>
          <w:color w:val="000000"/>
          <w:sz w:val="22"/>
          <w:szCs w:val="22"/>
          <w:shd w:fill="auto" w:val="clear"/>
          <w:lang w:eastAsia="zxx"/>
        </w:rPr>
        <w:t xml:space="preserve">Ścieki sanitarne bytowe z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 xml:space="preserve">projektowanego budynku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xx" w:bidi="ar-SA"/>
        </w:rPr>
        <w:t>stacji paliw</w:t>
      </w:r>
      <w:r>
        <w:rPr>
          <w:rFonts w:cs="Arial"/>
          <w:color w:val="000000"/>
          <w:sz w:val="22"/>
          <w:szCs w:val="22"/>
          <w:shd w:fill="auto" w:val="clear"/>
          <w:lang w:eastAsia="zxx"/>
        </w:rPr>
        <w:t xml:space="preserve"> będą odprowadzane do podziemnego zbiornika bezodpływowego zlokalizowanego na terenie stacji.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000000"/>
          <w:sz w:val="22"/>
          <w:szCs w:val="22"/>
          <w:shd w:fill="auto" w:val="clear"/>
          <w:lang w:eastAsia="zxx"/>
        </w:rPr>
        <w:t>Będzie to typowy prefabrykowany zbiornik żelbetowy, prostopadłościenny, szczelny, o pojemności 10 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cs="Arial"/>
          <w:color w:val="000000"/>
          <w:sz w:val="22"/>
          <w:szCs w:val="22"/>
          <w:shd w:fill="auto" w:val="clear"/>
          <w:lang w:eastAsia="zxx"/>
        </w:rPr>
        <w:t>.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h-CN" w:bidi="ar-SA"/>
        </w:rPr>
        <w:t>Z</w:t>
      </w: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2"/>
          <w:szCs w:val="22"/>
          <w:u w:val="none"/>
          <w:shd w:fill="auto" w:val="clear"/>
          <w:lang w:val="pl-PL" w:eastAsia="zh-CN" w:bidi="ar-SA"/>
        </w:rPr>
        <w:t xml:space="preserve">biornik powinien być wyposażony w system alarmowy przepełnienia. </w:t>
      </w:r>
    </w:p>
    <w:p>
      <w:pPr>
        <w:pStyle w:val="Normal"/>
        <w:rPr>
          <w:rFonts w:cs="Arial"/>
          <w:color w:val="auto"/>
          <w:szCs w:val="22"/>
        </w:rPr>
      </w:pPr>
      <w:r>
        <w:rPr>
          <w:rFonts w:cs="Arial"/>
          <w:color w:val="auto"/>
          <w:szCs w:val="22"/>
        </w:rPr>
      </w:r>
    </w:p>
    <w:p>
      <w:pPr>
        <w:pStyle w:val="Normal"/>
        <w:rPr/>
      </w:pPr>
      <w:r>
        <w:rPr>
          <w:rFonts w:cs="Arial"/>
          <w:color w:val="auto"/>
          <w:szCs w:val="22"/>
        </w:rPr>
        <w:t xml:space="preserve">Zewnętrzną instalację </w:t>
      </w:r>
      <w:r>
        <w:rPr>
          <w:rFonts w:cs="Arial"/>
          <w:color w:val="000000"/>
          <w:sz w:val="22"/>
          <w:szCs w:val="22"/>
          <w:shd w:fill="auto" w:val="clear"/>
        </w:rPr>
        <w:t>kanalizacji sanitarnej</w:t>
      </w:r>
      <w:r>
        <w:rPr>
          <w:rFonts w:cs="Arial"/>
          <w:color w:val="auto"/>
          <w:szCs w:val="22"/>
        </w:rPr>
        <w:t xml:space="preserve"> </w:t>
      </w:r>
      <w:r>
        <w:rPr>
          <w:color w:val="auto"/>
          <w:lang w:eastAsia="ar-SA"/>
        </w:rPr>
        <w:t xml:space="preserve">wykonać </w:t>
      </w:r>
      <w:r>
        <w:rPr>
          <w:color w:val="auto"/>
        </w:rPr>
        <w:t>z rur PVC-U</w:t>
      </w:r>
      <w:r>
        <w:rPr>
          <w:rFonts w:cs="Times New Roman"/>
          <w:color w:val="auto"/>
          <w:szCs w:val="22"/>
          <w:lang w:eastAsia="ar-SA"/>
        </w:rPr>
        <w:t xml:space="preserve"> ze ścianką z rdzeniem litym, SN8</w:t>
      </w:r>
      <w:r>
        <w:rPr>
          <w:rFonts w:cs="Arial"/>
          <w:color w:val="auto"/>
          <w:szCs w:val="22"/>
          <w:lang w:eastAsia="ar-SA"/>
        </w:rPr>
        <w:t>, SDR 34</w:t>
      </w:r>
      <w:r>
        <w:rPr>
          <w:rFonts w:cs="Times New Roman"/>
          <w:color w:val="auto"/>
          <w:szCs w:val="22"/>
          <w:lang w:eastAsia="ar-SA"/>
        </w:rPr>
        <w:t>,</w:t>
      </w:r>
      <w:r>
        <w:rPr>
          <w:color w:val="auto"/>
        </w:rPr>
        <w:t xml:space="preserve"> o średnicy 0,16 m, łączonych na uszczelki.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Times New Roman"/>
          <w:color w:val="auto"/>
          <w:szCs w:val="22"/>
        </w:rPr>
        <w:t xml:space="preserve">Uzbrojeniem będą studzienki kanalizacyjne </w:t>
      </w:r>
      <w:r>
        <w:rPr>
          <w:rFonts w:cs="Arial"/>
          <w:color w:val="auto"/>
          <w:szCs w:val="22"/>
          <w:lang w:eastAsia="ar-SA"/>
        </w:rPr>
        <w:t>z prefabrykowanych typowych elementów betonowych i żelbetowych łączonych na uszczelki gumowe z komorą roboczą o średnicy 1000 mm</w:t>
      </w:r>
      <w:r>
        <w:rPr>
          <w:rFonts w:cs="Times New Roman"/>
          <w:color w:val="auto"/>
          <w:szCs w:val="22"/>
        </w:rPr>
        <w:t xml:space="preserve">. </w:t>
      </w:r>
      <w:r>
        <w:rPr>
          <w:rFonts w:cs="Arial"/>
          <w:color w:val="auto"/>
          <w:szCs w:val="22"/>
          <w:lang w:eastAsia="ar-SA"/>
        </w:rPr>
        <w:t>Przykrycie studzienek włazami żeliwnymi klasy D400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 w terenie utwardzonym i klasy B125 w terenie zielonym</w:t>
      </w:r>
      <w:r>
        <w:rPr>
          <w:rFonts w:cs="Arial"/>
          <w:color w:val="auto"/>
          <w:szCs w:val="22"/>
          <w:lang w:eastAsia="ar-SA"/>
        </w:rPr>
        <w:t xml:space="preserve">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Prefabrykowane elementy betonowe do budowy studzienki wykonane będą z betonu zgodnie z normą PN-EN 206-1 o odpowiedniej klasie ekspozycji min. XA1 i wytrzymałości klasy min. C30/37, wodoszczelnego (min. W8) i o nasiąkliwości nie większej niż 5%.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Do połączenia studni z kanałami należy na budowie wykonać króćce połączeniowe. Przejścia króćców przez ściany studzienek wykonać jako szczelne.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>Stopnie złazowe żeliwne typu ciężkiego lub klamry stalowe o pełnym profilu w otulinie PE.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Kinety mają być wykonane fabrycznie ze spadkiem. Studnie będą posadowione </w:t>
      </w:r>
      <w:r>
        <w:rPr>
          <w:rFonts w:cs="Arial"/>
          <w:color w:val="auto"/>
          <w:szCs w:val="22"/>
          <w:lang w:eastAsia="ar-SA"/>
        </w:rPr>
        <w:t xml:space="preserve">na 20 cm podbudowie z betonu C12/15, wylewanej na gruncie rodzimym. Dolny prefabrykat ustawić na 2 cm warstwie świeżej zaprawy cementowej (Rz=10MPa) ułożonej na wylanym podłożu.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Włazy kanałowe do studzienek żeliwne klasy </w:t>
      </w:r>
      <w:r>
        <w:rPr>
          <w:rFonts w:cs="Arial"/>
          <w:color w:val="auto"/>
          <w:szCs w:val="22"/>
          <w:lang w:eastAsia="ar-SA"/>
        </w:rPr>
        <w:t>D400</w:t>
      </w:r>
      <w:r>
        <w:rPr>
          <w:rFonts w:cs="Arial"/>
          <w:color w:val="auto"/>
          <w:szCs w:val="22"/>
        </w:rPr>
        <w:t xml:space="preserve">, dwu lub czterootworowe, bez wentylacji, zgodnie z PN-EN 124. </w:t>
      </w:r>
    </w:p>
    <w:p>
      <w:pPr>
        <w:pStyle w:val="Normal"/>
        <w:rPr>
          <w:color w:val="auto"/>
        </w:rPr>
      </w:pPr>
      <w:r>
        <w:rPr>
          <w:rFonts w:cs="Times New Roman"/>
          <w:color w:val="auto"/>
          <w:szCs w:val="22"/>
        </w:rPr>
        <w:t xml:space="preserve">Studnie należy wykonywać zgodnie z PN-92/B-10729 oraz PN-EN 476.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>Po ułożeniu przewodów i zabezpieczeniu przed przesunięciem należy wykonać próbę szczelności wodą zgodnie z normą PN-EN 1610. Przewody należy zgłosić do inspekcji TV.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>Napotkane na trasie kable lub przewody powinny być zabezpieczane przed uszkodzeniem.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  <w:lang w:eastAsia="ar-SA"/>
        </w:rPr>
        <w:t xml:space="preserve">Przewody układać na podsypce z piasku gr. 20 cm z zasypką z piasku do wysokości 30 cm ponad jej zwieńczenie.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  <w:lang w:eastAsia="ar-SA"/>
        </w:rPr>
        <w:t xml:space="preserve">Instalację kanalizacyjną wykonywać zgodnie z wymaganiami normy PN-92/B-01707 oraz PN-EN 1610:2002. Stosowane rury i kształtki powinny posiadać wymagane atesty i aprobaty techniczne. Ułożone przewody kanalizacji przed zasypaniem należy zgłosić do pomiaru geodezyjnego i odbioru technicznego. </w:t>
      </w:r>
    </w:p>
    <w:p>
      <w:pPr>
        <w:pStyle w:val="Normal"/>
        <w:rPr>
          <w:rFonts w:cs="Arial"/>
          <w:color w:val="auto"/>
          <w:szCs w:val="22"/>
          <w:lang w:eastAsia="ar-SA"/>
        </w:rPr>
      </w:pPr>
      <w:r>
        <w:rPr>
          <w:rFonts w:cs="Arial"/>
          <w:color w:val="auto"/>
          <w:szCs w:val="22"/>
          <w:lang w:eastAsia="ar-SA"/>
        </w:rPr>
      </w:r>
    </w:p>
    <w:p>
      <w:pPr>
        <w:pStyle w:val="Normal"/>
        <w:rPr>
          <w:color w:val="auto"/>
        </w:rPr>
      </w:pPr>
      <w:r>
        <w:rPr>
          <w:rFonts w:cs="Times New Roman"/>
          <w:b/>
          <w:bCs/>
          <w:color w:val="auto"/>
          <w:szCs w:val="22"/>
          <w:lang w:eastAsia="ar-SA"/>
        </w:rPr>
        <w:t xml:space="preserve">Ilość ścieków sanitarnych bytowych odprowadzanych z projektowanej stacji paliw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cs="Times New Roman"/>
          <w:color w:val="auto"/>
          <w:szCs w:val="22"/>
        </w:rPr>
        <w:t>Qśr.d. = 1,4 m</w:t>
      </w:r>
      <w:r>
        <w:rPr>
          <w:rFonts w:cs="Times New Roman"/>
          <w:color w:val="auto"/>
          <w:szCs w:val="22"/>
          <w:vertAlign w:val="superscript"/>
        </w:rPr>
        <w:t>3</w:t>
      </w:r>
      <w:r>
        <w:rPr>
          <w:rFonts w:cs="Times New Roman"/>
          <w:color w:val="auto"/>
          <w:szCs w:val="22"/>
        </w:rPr>
        <w:t xml:space="preserve">/dobę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cs="Times New Roman"/>
          <w:color w:val="auto"/>
        </w:rPr>
        <w:t>Qmax.s. = 1,1 dm</w:t>
      </w:r>
      <w:r>
        <w:rPr>
          <w:rFonts w:cs="Times New Roman"/>
          <w:color w:val="auto"/>
          <w:vertAlign w:val="superscript"/>
        </w:rPr>
        <w:t>3</w:t>
      </w:r>
      <w:r>
        <w:rPr>
          <w:rFonts w:cs="Times New Roman"/>
          <w:color w:val="auto"/>
        </w:rPr>
        <w:t xml:space="preserve">/s </w:t>
      </w:r>
    </w:p>
    <w:p>
      <w:pPr>
        <w:pStyle w:val="Heading2"/>
        <w:ind w:hanging="0" w:left="0"/>
        <w:rPr>
          <w:iCs w:val="false"/>
          <w:color w:val="000000"/>
        </w:rPr>
      </w:pPr>
      <w:bookmarkStart w:id="6" w:name="__RefHeading___Toc44_848453239_kopia_1"/>
      <w:bookmarkEnd w:id="6"/>
      <w:r>
        <w:rPr>
          <w:iCs w:val="false"/>
          <w:color w:val="000000"/>
        </w:rPr>
        <w:t>ZEWNĘTRZNA INSTALACJA KANALIZACJI PRZEMYSŁOWEJ</w:t>
      </w:r>
    </w:p>
    <w:p>
      <w:pPr>
        <w:pStyle w:val="Normal"/>
        <w:spacing w:lineRule="auto" w:line="240"/>
        <w:rPr>
          <w:color w:val="2A6099"/>
        </w:rPr>
      </w:pPr>
      <w:r>
        <w:rPr>
          <w:rFonts w:cs="Arial"/>
          <w:color w:val="000000"/>
          <w:sz w:val="22"/>
          <w:szCs w:val="22"/>
          <w:shd w:fill="auto" w:val="clear"/>
          <w:lang w:eastAsia="zxx"/>
        </w:rPr>
        <w:t xml:space="preserve">Ścieki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xx" w:bidi="ar-SA"/>
        </w:rPr>
        <w:t xml:space="preserve">przemysłowe z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projektowanej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xx" w:bidi="ar-SA"/>
        </w:rPr>
        <w:t xml:space="preserve"> myjni</w:t>
      </w:r>
      <w:r>
        <w:rPr>
          <w:rFonts w:cs="Arial"/>
          <w:color w:val="000000"/>
          <w:sz w:val="22"/>
          <w:szCs w:val="22"/>
          <w:shd w:fill="auto" w:val="clear"/>
          <w:lang w:eastAsia="zxx"/>
        </w:rPr>
        <w:t xml:space="preserve"> będą odprowadzane do podziemnego zbiornika bezodpływowego zlokalizowanego na terenie stacji.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000000"/>
          <w:sz w:val="22"/>
          <w:szCs w:val="22"/>
          <w:shd w:fill="auto" w:val="clear"/>
          <w:lang w:eastAsia="zxx"/>
        </w:rPr>
        <w:t>Będzie to typowy prefabrykowany zbiornik żelbetowy, prostopadłościenny, szczelny, o pojemności 10 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cs="Arial"/>
          <w:color w:val="000000"/>
          <w:sz w:val="22"/>
          <w:szCs w:val="22"/>
          <w:shd w:fill="auto" w:val="clear"/>
          <w:lang w:eastAsia="zxx"/>
        </w:rPr>
        <w:t>.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color w:val="000000"/>
          <w:sz w:val="22"/>
          <w:szCs w:val="22"/>
          <w:shd w:fill="auto" w:val="clear"/>
          <w:lang w:val="pl-PL" w:eastAsia="zh-CN" w:bidi="ar-SA"/>
        </w:rPr>
        <w:t>Z</w:t>
      </w:r>
      <w:r>
        <w:rPr>
          <w:rFonts w:eastAsia="Times New Roman" w:cs="Arial"/>
          <w:b w:val="false"/>
          <w:bCs w:val="false"/>
          <w:i w:val="false"/>
          <w:strike w:val="false"/>
          <w:dstrike w:val="false"/>
          <w:color w:val="000000"/>
          <w:kern w:val="0"/>
          <w:sz w:val="22"/>
          <w:szCs w:val="22"/>
          <w:u w:val="none"/>
          <w:shd w:fill="auto" w:val="clear"/>
          <w:lang w:val="pl-PL" w:eastAsia="zh-CN" w:bidi="ar-SA"/>
        </w:rPr>
        <w:t xml:space="preserve">biornik powinien być wyposażony w system alarmowy przepełnienia. </w:t>
      </w:r>
    </w:p>
    <w:p>
      <w:pPr>
        <w:pStyle w:val="Normal"/>
        <w:spacing w:lineRule="auto" w:line="240"/>
        <w:rPr>
          <w:iCs w:val="false"/>
          <w:color w:val="000000"/>
        </w:rPr>
      </w:pPr>
      <w:r>
        <w:rPr>
          <w:iCs w:val="false"/>
          <w:color w:val="000000"/>
        </w:rPr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b w:val="false"/>
          <w:bCs w:val="false"/>
          <w:i w:val="false"/>
          <w:sz w:val="22"/>
          <w:szCs w:val="22"/>
          <w:shd w:fill="auto" w:val="clear"/>
        </w:rPr>
        <w:t>Ścieki</w:t>
      </w:r>
      <w:r>
        <w:rPr>
          <w:rFonts w:eastAsia="Times New Roman" w:cs="Arial"/>
          <w:b w:val="false"/>
          <w:bCs w:val="false"/>
          <w:i w:val="false"/>
          <w:strike w:val="false"/>
          <w:dstrike w:val="false"/>
          <w:sz w:val="22"/>
          <w:szCs w:val="22"/>
          <w:u w:val="none"/>
          <w:shd w:fill="auto" w:val="clear"/>
          <w:lang w:val="pl-PL" w:eastAsia="zxx" w:bidi="ar-SA"/>
        </w:rPr>
        <w:t xml:space="preserve"> przemysłowe</w:t>
      </w:r>
      <w:r>
        <w:rPr>
          <w:rFonts w:cs="Arial"/>
          <w:b w:val="false"/>
          <w:bCs w:val="false"/>
          <w:i w:val="false"/>
          <w:sz w:val="22"/>
          <w:szCs w:val="22"/>
          <w:shd w:fill="auto" w:val="clear"/>
        </w:rPr>
        <w:t xml:space="preserve"> będą podczyszczone </w:t>
      </w:r>
      <w:r>
        <w:rPr>
          <w:rFonts w:eastAsia="Times New Roman" w:cs="Arial"/>
          <w:b w:val="false"/>
          <w:bCs w:val="false"/>
          <w:i w:val="false"/>
          <w:strike w:val="false"/>
          <w:dstrike w:val="false"/>
          <w:sz w:val="22"/>
          <w:szCs w:val="22"/>
          <w:u w:val="none"/>
          <w:shd w:fill="auto" w:val="clear"/>
          <w:lang w:val="pl-PL" w:eastAsia="ar-SA" w:bidi="ar-SA"/>
        </w:rPr>
        <w:t>w zakresie zawiesin i substancji ropopochodnych za pomocą separatora koalescencyjnego</w:t>
      </w:r>
      <w:r>
        <w:rPr>
          <w:rFonts w:cs="Arial"/>
          <w:b w:val="false"/>
          <w:bCs w:val="false"/>
          <w:i w:val="false"/>
          <w:sz w:val="22"/>
          <w:szCs w:val="22"/>
          <w:shd w:fill="auto" w:val="clear"/>
        </w:rPr>
        <w:t xml:space="preserve"> o przepustowości 6 dm</w:t>
      </w:r>
      <w:r>
        <w:rPr>
          <w:rFonts w:eastAsia="Times New Roman" w:cs="Times New Roman"/>
          <w:b w:val="false"/>
          <w:bCs w:val="false"/>
          <w:i w:val="false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cs="Arial"/>
          <w:b w:val="false"/>
          <w:bCs w:val="false"/>
          <w:i w:val="false"/>
          <w:sz w:val="22"/>
          <w:szCs w:val="22"/>
          <w:shd w:fill="auto" w:val="clear"/>
        </w:rPr>
        <w:t xml:space="preserve">/s, np. typu </w:t>
      </w:r>
      <w:r>
        <w:rPr>
          <w:rFonts w:eastAsia="Times New Roman" w:cs="Arial"/>
          <w:b w:val="false"/>
          <w:bCs w:val="false"/>
          <w:i w:val="false"/>
          <w:strike w:val="false"/>
          <w:dstrike w:val="false"/>
          <w:sz w:val="22"/>
          <w:szCs w:val="22"/>
          <w:u w:val="none"/>
          <w:shd w:fill="auto" w:val="clear"/>
          <w:lang w:val="pl-PL" w:eastAsia="zh-CN" w:bidi="ar-SA"/>
        </w:rPr>
        <w:t>Ugos SEKO-B 6</w:t>
      </w:r>
      <w:r>
        <w:rPr>
          <w:rFonts w:cs="Arial"/>
          <w:b w:val="false"/>
          <w:bCs w:val="false"/>
          <w:i w:val="false"/>
          <w:sz w:val="22"/>
          <w:szCs w:val="22"/>
          <w:shd w:fill="auto" w:val="clear"/>
        </w:rPr>
        <w:t>, poprzedzonego osadnikiem zawiesin o pojemności 5,0 m</w:t>
      </w:r>
      <w:r>
        <w:rPr>
          <w:rFonts w:eastAsia="Times New Roman" w:cs="Times New Roman"/>
          <w:b w:val="false"/>
          <w:bCs w:val="false"/>
          <w:i w:val="false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cs="Arial"/>
          <w:b w:val="false"/>
          <w:bCs w:val="false"/>
          <w:i w:val="false"/>
          <w:sz w:val="22"/>
          <w:szCs w:val="22"/>
          <w:shd w:fill="auto" w:val="clear"/>
        </w:rPr>
        <w:t xml:space="preserve">, np. typu </w:t>
      </w:r>
      <w:r>
        <w:rPr>
          <w:rFonts w:eastAsia="Times New Roman" w:cs="Arial"/>
          <w:b w:val="false"/>
          <w:bCs w:val="false"/>
          <w:i w:val="false"/>
          <w:strike w:val="false"/>
          <w:dstrike w:val="false"/>
          <w:sz w:val="22"/>
          <w:szCs w:val="22"/>
          <w:u w:val="none"/>
          <w:shd w:fill="auto" w:val="clear"/>
          <w:lang w:val="pl-PL" w:eastAsia="zh-CN" w:bidi="ar-SA"/>
        </w:rPr>
        <w:t>Ugos TRAP-B 5,0</w:t>
      </w:r>
      <w:r>
        <w:rPr>
          <w:rFonts w:cs="Arial"/>
          <w:b w:val="false"/>
          <w:bCs w:val="false"/>
          <w:i w:val="false"/>
          <w:sz w:val="22"/>
          <w:szCs w:val="22"/>
          <w:shd w:fill="auto" w:val="clear"/>
        </w:rPr>
        <w:t xml:space="preserve">. Za układem podczyszczającym zabudowany będzie </w:t>
      </w:r>
      <w:r>
        <w:rPr>
          <w:rFonts w:eastAsia="Times New Roman" w:cs="Times New Roman"/>
          <w:b w:val="false"/>
          <w:bCs w:val="false"/>
          <w:i w:val="false"/>
          <w:sz w:val="22"/>
          <w:szCs w:val="22"/>
          <w:shd w:fill="auto" w:val="clear"/>
          <w:lang w:val="pl-PL" w:eastAsia="zxx" w:bidi="ar-SA"/>
        </w:rPr>
        <w:t>zbiornik retencyjny obiegu zamkniętego myjni, a dalej</w:t>
      </w:r>
      <w:r>
        <w:rPr>
          <w:rFonts w:cs="Arial"/>
          <w:b w:val="false"/>
          <w:bCs w:val="false"/>
          <w:i w:val="false"/>
          <w:sz w:val="22"/>
          <w:szCs w:val="22"/>
          <w:shd w:fill="auto" w:val="clear"/>
        </w:rPr>
        <w:t xml:space="preserve"> studzienka kontrolno-pomiarowa do poboru próbek oczyszczonych ścieków. </w:t>
      </w:r>
    </w:p>
    <w:p>
      <w:pPr>
        <w:pStyle w:val="Normal"/>
        <w:spacing w:lineRule="auto" w:line="240"/>
        <w:rPr>
          <w:iCs w:val="false"/>
          <w:color w:val="000000"/>
        </w:rPr>
      </w:pPr>
      <w:r>
        <w:rPr>
          <w:iCs w:val="false"/>
          <w:color w:val="000000"/>
        </w:rPr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Zewnętrzną instalację </w:t>
      </w:r>
      <w:r>
        <w:rPr>
          <w:rFonts w:cs="Arial"/>
          <w:color w:val="000000"/>
          <w:sz w:val="22"/>
          <w:szCs w:val="22"/>
          <w:shd w:fill="auto" w:val="clear"/>
        </w:rPr>
        <w:t xml:space="preserve">kanalizacji </w:t>
      </w:r>
      <w:r>
        <w:rPr>
          <w:rFonts w:cs="Arial"/>
          <w:color w:val="000000"/>
          <w:sz w:val="22"/>
          <w:szCs w:val="22"/>
          <w:shd w:fill="auto" w:val="clear"/>
          <w:lang w:eastAsia="zxx"/>
        </w:rPr>
        <w:t>przemysłowe</w:t>
      </w:r>
      <w:r>
        <w:rPr>
          <w:rFonts w:cs="Arial"/>
          <w:color w:val="000000"/>
          <w:sz w:val="22"/>
          <w:szCs w:val="22"/>
          <w:shd w:fill="auto" w:val="clear"/>
        </w:rPr>
        <w:t>j</w:t>
      </w:r>
      <w:r>
        <w:rPr>
          <w:rFonts w:cs="Arial"/>
          <w:color w:val="auto"/>
          <w:szCs w:val="22"/>
        </w:rPr>
        <w:t xml:space="preserve"> </w:t>
      </w:r>
      <w:r>
        <w:rPr>
          <w:color w:val="auto"/>
          <w:lang w:eastAsia="ar-SA"/>
        </w:rPr>
        <w:t xml:space="preserve">wykonać </w:t>
      </w:r>
      <w:r>
        <w:rPr>
          <w:color w:val="auto"/>
        </w:rPr>
        <w:t>z rur PVC-U</w:t>
      </w:r>
      <w:r>
        <w:rPr>
          <w:rFonts w:cs="Times New Roman"/>
          <w:color w:val="auto"/>
          <w:szCs w:val="22"/>
          <w:lang w:eastAsia="ar-SA"/>
        </w:rPr>
        <w:t xml:space="preserve"> ze ścianką z rdzeniem litym, SN8</w:t>
      </w:r>
      <w:r>
        <w:rPr>
          <w:rFonts w:cs="Arial"/>
          <w:color w:val="auto"/>
          <w:szCs w:val="22"/>
          <w:lang w:eastAsia="ar-SA"/>
        </w:rPr>
        <w:t>, SDR 34</w:t>
      </w:r>
      <w:r>
        <w:rPr>
          <w:rFonts w:cs="Times New Roman"/>
          <w:color w:val="auto"/>
          <w:szCs w:val="22"/>
          <w:lang w:eastAsia="ar-SA"/>
        </w:rPr>
        <w:t>,</w:t>
      </w:r>
      <w:r>
        <w:rPr>
          <w:color w:val="auto"/>
        </w:rPr>
        <w:t xml:space="preserve"> o średnicy 0,16 m, łączonych na uszczelki.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Times New Roman"/>
          <w:color w:val="auto"/>
          <w:szCs w:val="22"/>
        </w:rPr>
        <w:t xml:space="preserve">Uzbrojeniem będą studzienki kanalizacyjne </w:t>
      </w:r>
      <w:r>
        <w:rPr>
          <w:rFonts w:cs="Arial"/>
          <w:color w:val="auto"/>
          <w:szCs w:val="22"/>
          <w:lang w:eastAsia="ar-SA"/>
        </w:rPr>
        <w:t>z prefabrykowanych typowych elementów betonowych i żelbetowych łączonych na uszczelki gumowe z komorą roboczą o średnicy 1000 mm</w:t>
      </w:r>
      <w:r>
        <w:rPr>
          <w:rFonts w:cs="Times New Roman"/>
          <w:color w:val="auto"/>
          <w:szCs w:val="22"/>
        </w:rPr>
        <w:t xml:space="preserve">. </w:t>
      </w:r>
      <w:r>
        <w:rPr>
          <w:rFonts w:cs="Arial"/>
          <w:color w:val="auto"/>
          <w:szCs w:val="22"/>
          <w:lang w:eastAsia="ar-SA"/>
        </w:rPr>
        <w:t>Przykrycie studzienek włazami żeliwnymi klasy D400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 w terenie utwardzonym i klasy B125 w terenie zielonym</w:t>
      </w:r>
      <w:r>
        <w:rPr>
          <w:rFonts w:cs="Arial"/>
          <w:color w:val="auto"/>
          <w:szCs w:val="22"/>
          <w:lang w:eastAsia="ar-SA"/>
        </w:rPr>
        <w:t xml:space="preserve">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Prefabrykowane elementy betonowe do budowy studzienki wykonane będą z betonu zgodnie z normą PN-EN 206-1 o odpowiedniej klasie ekspozycji min. XA1 i wytrzymałości klasy min. C30/37, wodoszczelnego (min. W8) i o nasiąkliwości nie większej niż 5%.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Do połączenia studni z kanałami należy na budowie wykonać króćce połączeniowe. Przejścia króćców przez ściany studzienek wykonać jako szczelne.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>Stopnie złazowe żeliwne typu ciężkiego lub klamry stalowe o pełnym profilu w otulinie PE.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Kinety mają być wykonane fabrycznie ze spadkiem. Studnie będą posadowione </w:t>
      </w:r>
      <w:r>
        <w:rPr>
          <w:rFonts w:cs="Arial"/>
          <w:color w:val="auto"/>
          <w:szCs w:val="22"/>
          <w:lang w:eastAsia="ar-SA"/>
        </w:rPr>
        <w:t xml:space="preserve">na 20 cm podbudowie z betonu C12/15, wylewanej na gruncie rodzimym. Dolny prefabrykat ustawić na 2 cm warstwie świeżej zaprawy cementowej (Rz=10MPa) ułożonej na wylanym podłożu.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Włazy kanałowe do studzienek żeliwne klasy </w:t>
      </w:r>
      <w:r>
        <w:rPr>
          <w:rFonts w:cs="Arial"/>
          <w:color w:val="auto"/>
          <w:szCs w:val="22"/>
          <w:lang w:eastAsia="ar-SA"/>
        </w:rPr>
        <w:t>D400</w:t>
      </w:r>
      <w:r>
        <w:rPr>
          <w:rFonts w:cs="Arial"/>
          <w:color w:val="auto"/>
          <w:szCs w:val="22"/>
        </w:rPr>
        <w:t xml:space="preserve">, dwu lub czterootworowe, bez wentylacji, zgodnie z PN-EN 124. </w:t>
      </w:r>
    </w:p>
    <w:p>
      <w:pPr>
        <w:pStyle w:val="Normal"/>
        <w:rPr>
          <w:color w:val="auto"/>
        </w:rPr>
      </w:pPr>
      <w:r>
        <w:rPr>
          <w:rFonts w:cs="Times New Roman"/>
          <w:color w:val="auto"/>
          <w:szCs w:val="22"/>
        </w:rPr>
        <w:t xml:space="preserve">Studnie należy wykonywać zgodnie z PN-92/B-10729 oraz PN-EN 476.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>Po ułożeniu przewodów i zabezpieczeniu przed przesunięciem należy wykonać próbę szczelności wodą zgodnie z normą PN-EN 1610. Przewody należy zgłosić do inspekcji TV.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>Napotkane na trasie kable lub przewody powinny być zabezpieczane przed uszkodzeniem.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  <w:lang w:eastAsia="ar-SA"/>
        </w:rPr>
        <w:t xml:space="preserve">Przewody układać na podsypce z piasku gr. 20 cm z zasypką z piasku do wysokości 30 cm ponad jej zwieńczenie.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Arial"/>
          <w:iCs w:val="false"/>
          <w:color w:val="000000"/>
          <w:szCs w:val="22"/>
          <w:lang w:eastAsia="ar-SA"/>
        </w:rPr>
        <w:t xml:space="preserve">Instalację kanalizacyjną wykonywać zgodnie z wymaganiami normy PN-92/B-01707 oraz PN-EN 1610:2002. Stosowane rury i kształtki powinny posiadać wymagane atesty i aprobaty techniczne. Ułożone przewody kanalizacji przed zasypaniem należy zgłosić do pomiaru geodezyjnego i odbioru technicznego. </w:t>
      </w:r>
    </w:p>
    <w:p>
      <w:pPr>
        <w:pStyle w:val="Normal"/>
        <w:rPr>
          <w:iCs w:val="false"/>
          <w:color w:val="000000"/>
        </w:rPr>
      </w:pPr>
      <w:r>
        <w:rPr>
          <w:iCs w:val="false"/>
          <w:color w:val="000000"/>
        </w:rPr>
      </w:r>
    </w:p>
    <w:p>
      <w:pPr>
        <w:pStyle w:val="Normal"/>
        <w:rPr>
          <w:color w:val="auto"/>
        </w:rPr>
      </w:pPr>
      <w:r>
        <w:rPr>
          <w:rFonts w:cs="Times New Roman"/>
          <w:b/>
          <w:bCs/>
          <w:color w:val="auto"/>
          <w:szCs w:val="22"/>
          <w:lang w:eastAsia="ar-SA"/>
        </w:rPr>
        <w:t xml:space="preserve">Ilość ścieków przemysłowych odprowadzanych z projektowanej myjni </w:t>
      </w:r>
    </w:p>
    <w:p>
      <w:pPr>
        <w:pStyle w:val="Normal"/>
        <w:rPr>
          <w:color w:val="auto"/>
        </w:rPr>
      </w:pPr>
      <w:r>
        <w:rPr>
          <w:rFonts w:eastAsia="Times New Roman" w:cs="Times New Roman"/>
          <w:b w:val="false"/>
          <w:bCs w:val="false"/>
          <w:color w:val="auto"/>
          <w:sz w:val="22"/>
          <w:szCs w:val="22"/>
          <w:lang w:val="pl-PL" w:eastAsia="zxx" w:bidi="ar-SA"/>
        </w:rPr>
        <w:t>Projektowana myjnia będzie zużywać na umycie jednego samochodu ok. 250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sz w:val="22"/>
          <w:szCs w:val="22"/>
          <w:lang w:val="pl-PL" w:eastAsia="zxx" w:bidi="ar-SA"/>
        </w:rPr>
        <w:t>dm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sz w:val="22"/>
          <w:szCs w:val="22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b w:val="false"/>
          <w:bCs w:val="false"/>
          <w:color w:val="auto"/>
          <w:sz w:val="22"/>
          <w:szCs w:val="22"/>
          <w:lang w:val="pl-PL" w:eastAsia="zxx" w:bidi="ar-SA"/>
        </w:rPr>
        <w:t xml:space="preserve"> wody. W celu ograniczenia zużycia wody przewidziano instalację obiegu zamkniętego pracującego w oparciu o urządzenia stacji oczyszczania wody. </w:t>
      </w:r>
    </w:p>
    <w:p>
      <w:pPr>
        <w:pStyle w:val="Normal"/>
        <w:rPr>
          <w:color w:val="auto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Woda po myciu trafi do układu oczyszczania składającego się z osadnika zawiesin, separatora koalescencyjnego substancji ropopochodnych i zbiornika retencyjnego, </w:t>
      </w:r>
      <w:r>
        <w:rPr>
          <w:rFonts w:eastAsia="Times New Roman" w:cs="Calibri"/>
          <w:b w:val="false"/>
          <w:bCs w:val="false"/>
          <w:i w:val="false"/>
          <w:iCs w:val="false"/>
          <w:color w:val="000000"/>
          <w:sz w:val="22"/>
          <w:szCs w:val="24"/>
          <w:shd w:fill="auto" w:val="clear"/>
          <w:lang w:val="pl-PL" w:eastAsia="zh-CN" w:bidi="ar-SA"/>
        </w:rPr>
        <w:t xml:space="preserve">z którego większość wody </w:t>
      </w: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zawracana będzie</w:t>
      </w:r>
      <w:r>
        <w:rPr>
          <w:rFonts w:eastAsia="Times New Roman" w:cs="Calibri"/>
          <w:b w:val="false"/>
          <w:bCs w:val="false"/>
          <w:i w:val="false"/>
          <w:iCs w:val="false"/>
          <w:color w:val="000000"/>
          <w:sz w:val="22"/>
          <w:szCs w:val="24"/>
          <w:shd w:fill="auto" w:val="clear"/>
          <w:lang w:val="pl-PL" w:eastAsia="zh-CN" w:bidi="ar-SA"/>
        </w:rPr>
        <w:t xml:space="preserve"> do urządzeń technologicznych myjni, a reszta przelewem odprowadzana </w:t>
      </w: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będzie</w:t>
      </w:r>
      <w:r>
        <w:rPr>
          <w:rFonts w:eastAsia="Times New Roman" w:cs="Calibri"/>
          <w:b w:val="false"/>
          <w:bCs w:val="false"/>
          <w:i w:val="false"/>
          <w:iCs w:val="false"/>
          <w:color w:val="000000"/>
          <w:sz w:val="22"/>
          <w:szCs w:val="24"/>
          <w:shd w:fill="auto" w:val="clear"/>
          <w:lang w:val="pl-PL" w:eastAsia="zh-CN" w:bidi="ar-SA"/>
        </w:rPr>
        <w:t xml:space="preserve"> do kanalizacji. </w:t>
      </w:r>
    </w:p>
    <w:p>
      <w:pPr>
        <w:pStyle w:val="Normal"/>
        <w:rPr/>
      </w:pPr>
      <w:r>
        <w:rPr>
          <w:rFonts w:eastAsia="Times New Roman" w:cs="Times New Roman"/>
          <w:b w:val="false"/>
          <w:bCs w:val="false"/>
          <w:color w:val="auto"/>
          <w:sz w:val="22"/>
          <w:szCs w:val="22"/>
          <w:lang w:val="pl-PL" w:eastAsia="zxx" w:bidi="ar-SA"/>
        </w:rPr>
        <w:t xml:space="preserve">Ilość wody świeżej przypadającej na mycie jednego samochodu wyniesie od 20 do 30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sz w:val="22"/>
          <w:szCs w:val="22"/>
          <w:lang w:val="pl-PL" w:eastAsia="zxx" w:bidi="ar-SA"/>
        </w:rPr>
        <w:t>dm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sz w:val="22"/>
          <w:szCs w:val="22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b w:val="false"/>
          <w:bCs w:val="false"/>
          <w:color w:val="auto"/>
          <w:sz w:val="22"/>
          <w:szCs w:val="22"/>
          <w:lang w:val="pl-PL" w:eastAsia="zxx" w:bidi="ar-SA"/>
        </w:rPr>
        <w:t xml:space="preserve">. </w:t>
      </w:r>
    </w:p>
    <w:p>
      <w:pPr>
        <w:pStyle w:val="Normal"/>
        <w:rPr>
          <w:color w:val="auto"/>
        </w:rPr>
      </w:pPr>
      <w:r>
        <w:rPr>
          <w:rFonts w:eastAsia="Times New Roman" w:cs="Times New Roman"/>
          <w:b w:val="false"/>
          <w:bCs w:val="false"/>
          <w:color w:val="auto"/>
          <w:sz w:val="22"/>
          <w:szCs w:val="22"/>
          <w:lang w:val="pl-PL" w:eastAsia="zxx" w:bidi="ar-SA"/>
        </w:rPr>
        <w:t xml:space="preserve">Ilość ścieków przemysłowych odprowadzanych przelewem do kanalizacji przyjęto w oparciu o bilans zapotrzebowania wody świeżej. </w:t>
      </w:r>
    </w:p>
    <w:p>
      <w:pPr>
        <w:pStyle w:val="Normal"/>
        <w:rPr>
          <w:color w:val="auto"/>
        </w:rPr>
      </w:pPr>
      <w:r>
        <w:rPr>
          <w:rFonts w:eastAsia="Times New Roman" w:cs="Times New Roman"/>
          <w:b w:val="false"/>
          <w:bCs w:val="false"/>
          <w:color w:val="auto"/>
          <w:sz w:val="22"/>
          <w:szCs w:val="22"/>
          <w:lang w:val="pl-PL" w:eastAsia="zxx" w:bidi="ar-SA"/>
        </w:rPr>
        <w:t xml:space="preserve">Przy założeniu, że w ciągu doby obsłużonych zostanie 20 do 40 samochodów, oraz w oparciu o dane producenta myjni, ilość odprowadzanych do kanalizacji ścieków przemysłowych wyniesie: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Q max dobowe </w:t>
        <w:tab/>
        <w:tab/>
        <w:t>= 1,2 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/dobę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Q średnie dobowe </w:t>
        <w:tab/>
        <w:t>= 0,8 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/dobę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cs="Times New Roman"/>
          <w:i w:val="false"/>
          <w:iCs w:val="false"/>
          <w:color w:val="000000"/>
          <w:shd w:fill="auto" w:val="clear"/>
        </w:rPr>
        <w:t xml:space="preserve">Q max sekundowe </w:t>
        <w:tab/>
        <w:t xml:space="preserve">= 1,0 </w:t>
      </w:r>
      <w:r>
        <w:rPr>
          <w:rFonts w:cs="Times New Roman"/>
          <w:i w:val="false"/>
          <w:iCs w:val="false"/>
          <w:color w:val="000000"/>
          <w:shd w:fill="auto" w:val="clear"/>
          <w:lang w:eastAsia="ar-SA"/>
        </w:rPr>
        <w:t>dm</w:t>
      </w:r>
      <w:r>
        <w:rPr>
          <w:rFonts w:cs="Times New Roman"/>
          <w:i w:val="false"/>
          <w:iCs w:val="false"/>
          <w:color w:val="000000"/>
          <w:shd w:fill="auto" w:val="clear"/>
          <w:vertAlign w:val="superscript"/>
          <w:lang w:eastAsia="ar-SA"/>
        </w:rPr>
        <w:t>3</w:t>
      </w:r>
      <w:r>
        <w:rPr>
          <w:rFonts w:cs="Arial"/>
          <w:i w:val="false"/>
          <w:iCs w:val="false"/>
          <w:color w:val="000000"/>
          <w:shd w:fill="auto" w:val="clear"/>
          <w:lang w:eastAsia="ar-SA"/>
        </w:rPr>
        <w:t>/s</w:t>
      </w:r>
    </w:p>
    <w:p>
      <w:pPr>
        <w:pStyle w:val="Heading2"/>
        <w:rPr>
          <w:iCs w:val="false"/>
          <w:color w:val="000000"/>
        </w:rPr>
      </w:pPr>
      <w:bookmarkStart w:id="7" w:name="__RefHeading___Toc44_848453239"/>
      <w:bookmarkEnd w:id="7"/>
      <w:r>
        <w:rPr>
          <w:iCs w:val="false"/>
          <w:color w:val="000000"/>
        </w:rPr>
        <w:t>ZEWNĘTRZNA INSTALACJA KANALIZACJI DESZCZOWEJ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>Wody opadowe</w:t>
      </w:r>
      <w:r>
        <w:rPr>
          <w:rFonts w:cs="Arial"/>
          <w:color w:val="auto"/>
          <w:szCs w:val="22"/>
          <w:lang w:eastAsia="ar-SA"/>
        </w:rPr>
        <w:t xml:space="preserve"> i roztopowe</w:t>
      </w:r>
      <w:r>
        <w:rPr>
          <w:rFonts w:cs="Arial"/>
          <w:color w:val="auto"/>
          <w:szCs w:val="22"/>
        </w:rPr>
        <w:t xml:space="preserve"> z terenu projektowanej stacji paliw będą odprowadzane do projektowanego </w:t>
      </w:r>
      <w:r>
        <w:rPr>
          <w:rFonts w:cs="Arial"/>
          <w:color w:val="auto"/>
          <w:szCs w:val="22"/>
          <w:lang w:eastAsia="ar-SA"/>
        </w:rPr>
        <w:t xml:space="preserve">zbiornika retencyjnego </w:t>
      </w:r>
      <w:r>
        <w:rPr>
          <w:rFonts w:cs="Arial"/>
          <w:color w:val="auto"/>
          <w:szCs w:val="22"/>
        </w:rPr>
        <w:t xml:space="preserve">poprzez </w:t>
      </w:r>
      <w:r>
        <w:rPr>
          <w:rFonts w:cs="Times New Roman"/>
          <w:color w:val="auto"/>
          <w:szCs w:val="22"/>
        </w:rPr>
        <w:t>projektowan</w:t>
      </w:r>
      <w:r>
        <w:rPr>
          <w:rFonts w:cs="Arial"/>
          <w:color w:val="auto"/>
          <w:szCs w:val="22"/>
        </w:rPr>
        <w:t xml:space="preserve">ą zewnętrzną instalację kanalizacji </w:t>
      </w:r>
      <w:r>
        <w:rPr>
          <w:rFonts w:cs="Arial"/>
          <w:color w:val="auto"/>
          <w:szCs w:val="22"/>
          <w:lang w:eastAsia="ar-SA"/>
        </w:rPr>
        <w:t>deszczowej.</w:t>
      </w:r>
      <w:r>
        <w:rPr>
          <w:rFonts w:cs="Arial"/>
          <w:color w:val="auto"/>
          <w:szCs w:val="22"/>
        </w:rPr>
        <w:t xml:space="preserve"> </w:t>
      </w:r>
    </w:p>
    <w:p>
      <w:pPr>
        <w:pStyle w:val="Normal"/>
        <w:rPr>
          <w:rFonts w:cs="Arial"/>
          <w:b w:val="false"/>
          <w:bCs w:val="false"/>
          <w:sz w:val="22"/>
          <w:szCs w:val="22"/>
          <w:shd w:fill="auto" w:val="clear"/>
          <w:lang w:eastAsia="zxx"/>
        </w:rPr>
      </w:pPr>
      <w:r>
        <w:rPr>
          <w:rFonts w:cs="Arial"/>
          <w:b w:val="false"/>
          <w:bCs w:val="false"/>
          <w:sz w:val="22"/>
          <w:szCs w:val="22"/>
          <w:shd w:fill="auto" w:val="clear"/>
          <w:lang w:eastAsia="zxx"/>
        </w:rPr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zxx"/>
        </w:rPr>
        <w:t>Będzie to szczelny zbiornik podziemny, o pojemności 200 m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eastAsia="zxx"/>
        </w:rPr>
        <w:t>3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zxx"/>
        </w:rPr>
        <w:t xml:space="preserve">, z modułowych prefabrykowanych elementów żelbetowych, w wykonaniu najazdowym, np. firmy Mall, o wymiarach zgodnie z częścią rysunkową, lub równoważny. </w:t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zxx"/>
        </w:rPr>
        <w:t>Zbiornik wyposażony będzie w dwa kominy rewizyjne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 Ø 1,0 m zwieńczone włazami żeliwnymi  Ø 600 mm klasy D400 ze stopniami złazowymi. </w:t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Przejścia przewodów przez ściany zbiornika wykonać jako szczelne. </w:t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Posadowienie zbiornika zgodnie z projektem konstrukcyjnym.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zxx" w:bidi="ar-SA"/>
        </w:rPr>
        <w:t xml:space="preserve">W czasie użytkowania należy okresowo czyścić dno zbiornika z osadów.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>Z</w:t>
      </w: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2"/>
          <w:szCs w:val="22"/>
          <w:u w:val="none"/>
          <w:shd w:fill="auto" w:val="clear"/>
          <w:lang w:val="pl-PL" w:eastAsia="zh-CN" w:bidi="ar-SA"/>
        </w:rPr>
        <w:t xml:space="preserve">biornik powinien być wyposażony w system alarmowy przepełnienia.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2"/>
          <w:szCs w:val="22"/>
          <w:u w:val="none"/>
          <w:shd w:fill="auto" w:val="clear"/>
          <w:lang w:val="pl-PL" w:eastAsia="zh-CN" w:bidi="ar-SA"/>
        </w:rPr>
        <w:t xml:space="preserve">Nadmiar wód zretencjonowanych w zbiorniku będzie wywożony. </w:t>
      </w:r>
    </w:p>
    <w:p>
      <w:pPr>
        <w:pStyle w:val="Normal"/>
        <w:rPr>
          <w:rFonts w:cs="Arial"/>
          <w:szCs w:val="22"/>
          <w:lang w:eastAsia="ar-SA"/>
        </w:rPr>
      </w:pPr>
      <w:r>
        <w:rPr>
          <w:rFonts w:cs="Arial"/>
          <w:szCs w:val="22"/>
          <w:lang w:eastAsia="ar-SA"/>
        </w:rPr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  <w:lang w:eastAsia="ar-SA"/>
        </w:rPr>
        <w:t>Do kanalizacji deszczowej trafią wody opadowe z terenu stacji, z dachu pawilonu stacji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 z myjnią</w:t>
      </w:r>
      <w:r>
        <w:rPr>
          <w:rFonts w:cs="Arial"/>
          <w:color w:val="auto"/>
          <w:szCs w:val="22"/>
          <w:lang w:eastAsia="ar-SA"/>
        </w:rPr>
        <w:t xml:space="preserve"> i z zadaszenia nad dystrybutorami.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  <w:lang w:eastAsia="ar-SA"/>
        </w:rPr>
        <w:t xml:space="preserve">Odbiór wód opadowych z terenu stacji odbywa się za pośrednictwem wpustów ulicznych i korytek odwodnienia korytowego otwartego. </w:t>
      </w:r>
    </w:p>
    <w:p>
      <w:pPr>
        <w:pStyle w:val="Normal"/>
        <w:rPr>
          <w:rFonts w:cs="Arial"/>
          <w:lang w:eastAsia="ar-SA"/>
        </w:rPr>
      </w:pPr>
      <w:r>
        <w:rPr>
          <w:rFonts w:cs="Arial"/>
          <w:lang w:eastAsia="ar-SA"/>
        </w:rPr>
      </w:r>
    </w:p>
    <w:p>
      <w:pPr>
        <w:pStyle w:val="Normal"/>
        <w:rPr>
          <w:color w:val="auto"/>
        </w:rPr>
      </w:pPr>
      <w:r>
        <w:rPr>
          <w:rFonts w:cs="Arial"/>
          <w:color w:val="auto"/>
          <w:lang w:eastAsia="ar-SA"/>
        </w:rPr>
        <w:t>Kanalizację deszczową na terenie stacji zaprojektowano z rur PVC-U ze ścianką z rdzeniem litym</w:t>
      </w:r>
      <w:r>
        <w:rPr>
          <w:rFonts w:cs="Arial"/>
          <w:color w:val="auto"/>
          <w:szCs w:val="22"/>
          <w:lang w:eastAsia="ar-SA"/>
        </w:rPr>
        <w:t>, SN8, SDR 34,</w:t>
      </w:r>
      <w:r>
        <w:rPr>
          <w:rFonts w:cs="Arial"/>
          <w:color w:val="auto"/>
          <w:lang w:eastAsia="ar-SA"/>
        </w:rPr>
        <w:t xml:space="preserve"> o średnicy 0,11 do 0,315 m, łączonych na uszczelki. </w:t>
      </w:r>
    </w:p>
    <w:p>
      <w:pPr>
        <w:pStyle w:val="Normal"/>
        <w:rPr>
          <w:rFonts w:cs="Arial"/>
          <w:lang w:eastAsia="ar-SA"/>
        </w:rPr>
      </w:pPr>
      <w:r>
        <w:rPr>
          <w:rFonts w:cs="Arial"/>
          <w:lang w:eastAsia="ar-SA"/>
        </w:rPr>
      </w:r>
    </w:p>
    <w:p>
      <w:pPr>
        <w:pStyle w:val="Normal"/>
        <w:rPr>
          <w:color w:val="auto"/>
        </w:rPr>
      </w:pPr>
      <w:r>
        <w:rPr>
          <w:rFonts w:cs="Arial"/>
          <w:color w:val="auto"/>
          <w:lang w:eastAsia="ar-SA"/>
        </w:rPr>
        <w:t xml:space="preserve">Na kanałach przewidziano wykonanie studzienek rewizyjnych </w:t>
      </w:r>
      <w:r>
        <w:rPr>
          <w:rFonts w:cs="Arial"/>
          <w:color w:val="auto"/>
          <w:szCs w:val="22"/>
          <w:lang w:eastAsia="ar-SA"/>
        </w:rPr>
        <w:t>z prefabrykowanych typowych elementów betonowych i żelbetowych łączonych na uszczelki gumowe z komorą roboczą o średnicy 1000 mm</w:t>
      </w:r>
      <w:r>
        <w:rPr>
          <w:rFonts w:cs="Arial"/>
          <w:color w:val="auto"/>
          <w:lang w:eastAsia="ar-SA"/>
        </w:rPr>
        <w:t xml:space="preserve">. Przykrycie studzienek włazami żeliwnymi </w:t>
      </w:r>
      <w:r>
        <w:rPr>
          <w:rFonts w:cs="Arial"/>
          <w:color w:val="auto"/>
          <w:szCs w:val="22"/>
          <w:lang w:eastAsia="ar-SA"/>
        </w:rPr>
        <w:t>klasy D400</w:t>
      </w:r>
      <w:r>
        <w:rPr>
          <w:rFonts w:cs="Arial"/>
          <w:color w:val="auto"/>
          <w:lang w:eastAsia="ar-SA"/>
        </w:rPr>
        <w:t xml:space="preserve">. </w:t>
      </w:r>
    </w:p>
    <w:p>
      <w:pPr>
        <w:pStyle w:val="Normal"/>
        <w:rPr>
          <w:rFonts w:cs="Arial"/>
          <w:szCs w:val="22"/>
          <w:lang w:eastAsia="ar-SA"/>
        </w:rPr>
      </w:pPr>
      <w:r>
        <w:rPr>
          <w:rFonts w:cs="Arial"/>
          <w:szCs w:val="22"/>
          <w:lang w:eastAsia="ar-SA"/>
        </w:rPr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  <w:lang w:eastAsia="ar-SA"/>
        </w:rPr>
        <w:t xml:space="preserve">Wpusty uliczne z prefabrykowanych typowych elementów betonowych o średnicy 500 mm, z osadnikiem o wysokości 0,5 m, z żeliwnym rusztem uchylnym płaskim klasy C250.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  <w:lang w:eastAsia="ar-SA"/>
        </w:rPr>
        <w:t xml:space="preserve">Odwodnienie korytowe tac szczelnych z prefabrykowanych typowych elementów betonowych, np. typu Beton-Bytom, Hoger.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lang w:eastAsia="ar-SA"/>
        </w:rPr>
        <w:t xml:space="preserve">Na przewodach odwodnienia studni nadzbiornikowych i studni zlewowej zamontować zasuwę nożową DN 100 z drążkiem i skrzynką uliczną. Odpływy z odwodnienia tacy szczelnej zasyfonować. </w:t>
      </w:r>
    </w:p>
    <w:p>
      <w:pPr>
        <w:pStyle w:val="Normal"/>
        <w:rPr>
          <w:rFonts w:cs="Arial"/>
          <w:lang w:eastAsia="ar-SA"/>
        </w:rPr>
      </w:pPr>
      <w:r>
        <w:rPr>
          <w:rFonts w:cs="Arial"/>
          <w:lang w:eastAsia="ar-SA"/>
        </w:rPr>
      </w:r>
    </w:p>
    <w:p>
      <w:pPr>
        <w:pStyle w:val="Normal"/>
        <w:rPr>
          <w:color w:val="auto"/>
        </w:rPr>
      </w:pPr>
      <w:r>
        <w:rPr>
          <w:rFonts w:cs="Arial"/>
          <w:color w:val="auto"/>
          <w:lang w:eastAsia="ar-SA"/>
        </w:rPr>
        <w:t>Wody opadowe oczyszczane będą w zakresie zawiesin i substancji ropopochodnych za pomocą separatora koalescencyjnego o</w:t>
      </w:r>
      <w:r>
        <w:rPr>
          <w:rFonts w:cs="Arial"/>
          <w:color w:val="auto"/>
          <w:szCs w:val="22"/>
          <w:lang w:eastAsia="ar-SA"/>
        </w:rPr>
        <w:t xml:space="preserve"> przepustowości 30 dm</w:t>
      </w:r>
      <w:r>
        <w:rPr>
          <w:rFonts w:cs="Arial"/>
          <w:color w:val="auto"/>
          <w:szCs w:val="22"/>
          <w:vertAlign w:val="superscript"/>
          <w:lang w:eastAsia="ar-SA"/>
        </w:rPr>
        <w:t>3</w:t>
      </w:r>
      <w:r>
        <w:rPr>
          <w:rFonts w:cs="Arial"/>
          <w:color w:val="auto"/>
          <w:szCs w:val="22"/>
          <w:lang w:eastAsia="ar-SA"/>
        </w:rPr>
        <w:t>/s</w:t>
      </w:r>
      <w:r>
        <w:rPr>
          <w:rFonts w:cs="Arial"/>
          <w:color w:val="auto"/>
          <w:szCs w:val="22"/>
        </w:rPr>
        <w:t>, np. typu UGOS SEKO-B 30</w:t>
      </w:r>
      <w:r>
        <w:rPr>
          <w:rFonts w:cs="Arial"/>
          <w:color w:val="auto"/>
          <w:szCs w:val="22"/>
          <w:lang w:eastAsia="ar-SA"/>
        </w:rPr>
        <w:t>, poprzedzonego osadnikiem zawiesin o pojemności 6 m</w:t>
      </w:r>
      <w:r>
        <w:rPr>
          <w:rFonts w:cs="Arial"/>
          <w:color w:val="auto"/>
          <w:szCs w:val="22"/>
          <w:vertAlign w:val="superscript"/>
          <w:lang w:eastAsia="ar-SA"/>
        </w:rPr>
        <w:t>3</w:t>
      </w:r>
      <w:r>
        <w:rPr>
          <w:rFonts w:cs="Arial"/>
          <w:color w:val="auto"/>
          <w:szCs w:val="22"/>
        </w:rPr>
        <w:t xml:space="preserve">, np. typu UGOS TRAP-B 6,0.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2"/>
          <w:szCs w:val="22"/>
          <w:u w:val="none"/>
          <w:shd w:fill="auto" w:val="clear"/>
          <w:lang w:val="pl-PL" w:eastAsia="zh-CN" w:bidi="ar-SA"/>
        </w:rPr>
        <w:t xml:space="preserve">Separator i osadnik powinien być wyposażony w system alarmowy przepełnienia, poziomu oleju i osadu.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color w:val="auto"/>
        </w:rPr>
        <w:t xml:space="preserve">Przekładany wpust na wjeździe na teren stacji z al. </w:t>
      </w:r>
      <w:r>
        <w:rPr>
          <w:rFonts w:cs="Arial"/>
          <w:color w:val="auto"/>
          <w:szCs w:val="22"/>
          <w:lang w:eastAsia="ar-SA"/>
        </w:rPr>
        <w:t>Marszałka Józefa Piłsudskiego należy włączyć do istniejącego przykanalika za pomocą kolana 45</w:t>
      </w:r>
      <w:r>
        <w:rPr>
          <w:rFonts w:cs="Arial"/>
          <w:color w:val="auto"/>
          <w:szCs w:val="22"/>
          <w:vertAlign w:val="superscript"/>
          <w:lang w:eastAsia="ar-SA"/>
        </w:rPr>
        <w:t>o</w:t>
      </w:r>
      <w:r>
        <w:rPr>
          <w:rFonts w:cs="Arial"/>
          <w:color w:val="auto"/>
          <w:szCs w:val="22"/>
          <w:lang w:eastAsia="ar-SA"/>
        </w:rPr>
        <w:t xml:space="preserve">. Rzędną włączenia zweryfikować na budowie. W razie potrzeby dopasować głębokość projektowanego wpustu lub spadek projektowanego przykanalika. Minimalny spadek przykanalika – 2,0%. Likwidowany odcinek istniejącego przykanalika odciąć i unieczynnić.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>Po ułożeniu przewodów i zabezpieczeniu przed przesunięciem należy wykonać próbę szczelności wodą zgodnie z normą PN-EN 1610. Przewody należy zgłosić do inspekcji TV.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>Napotkane na trasie kable lub przewody powinny być zabezpieczane przed uszkodzeniem.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  <w:lang w:eastAsia="ar-SA"/>
        </w:rPr>
        <w:t xml:space="preserve">Przewody układać na podsypce z piasku gr. 20 cm z zasypką z piasku do wysokości 30 cm ponad jej zwieńczenie. </w:t>
      </w:r>
    </w:p>
    <w:p>
      <w:pPr>
        <w:pStyle w:val="Normal"/>
        <w:rPr>
          <w:rFonts w:cs="Arial"/>
          <w:szCs w:val="22"/>
        </w:rPr>
      </w:pPr>
      <w:r>
        <w:rPr>
          <w:rFonts w:cs="Arial"/>
          <w:szCs w:val="22"/>
        </w:rPr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Prefabrykowane elementy betonowe do budowy studzienki wykonane będą z betonu zgodnie z normą PN-EN 206-1 o odpowiedniej klasie ekspozycji min. XA1 i wytrzymałości klasy min. C30/37, wodoszczelnego (min. W8) i o nasiąkliwości nie większej niż 5%.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Do połączenia studni z kanałami należy na budowie wykonać króćce połączeniowe. Przejścia króćców przez ściany studzienek wykonać jako szczelne. 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>Stopnie złazowe żeliwne typu ciężkiego lub klamry stalowe o pełnym profilu w otulinie PE.</w:t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Kinety mają być wykonane fabrycznie ze spadkiem. Studnie będą posadowione </w:t>
      </w:r>
      <w:r>
        <w:rPr>
          <w:rFonts w:cs="Arial"/>
          <w:color w:val="auto"/>
          <w:szCs w:val="22"/>
          <w:lang w:eastAsia="ar-SA"/>
        </w:rPr>
        <w:t xml:space="preserve">na 20 cm podbudowie z betonu C12/15, wylewanej na gruncie rodzimym, wpusty na 10 cm podbudowie betonowej. Dolny prefabrykat ustawić na 2 cm warstwie świeżej zaprawy cementowej (Rz=10MPa) ułożonej na wylanym podłożu. </w:t>
      </w:r>
    </w:p>
    <w:p>
      <w:pPr>
        <w:pStyle w:val="Normal"/>
        <w:rPr>
          <w:color w:val="auto"/>
        </w:rPr>
      </w:pPr>
      <w:r>
        <w:rPr>
          <w:rFonts w:cs="Times New Roman"/>
          <w:color w:val="auto"/>
          <w:szCs w:val="22"/>
        </w:rPr>
        <w:t xml:space="preserve">Studnie należy wykonywać zgodnie z PN-92/B-10729 oraz PN-EN 476. </w:t>
      </w:r>
    </w:p>
    <w:p>
      <w:pPr>
        <w:pStyle w:val="Normal"/>
        <w:rPr>
          <w:rFonts w:cs="Arial"/>
          <w:szCs w:val="22"/>
        </w:rPr>
      </w:pPr>
      <w:r>
        <w:rPr>
          <w:rFonts w:cs="Arial"/>
          <w:szCs w:val="22"/>
        </w:rPr>
      </w:r>
    </w:p>
    <w:p>
      <w:pPr>
        <w:pStyle w:val="Normal"/>
        <w:rPr>
          <w:color w:val="auto"/>
        </w:rPr>
      </w:pPr>
      <w:r>
        <w:rPr>
          <w:rFonts w:cs="Arial"/>
          <w:color w:val="auto"/>
          <w:szCs w:val="22"/>
        </w:rPr>
        <w:t xml:space="preserve">Instalację kanalizacyjną wykonywać zgodnie z wymaganiami normy PN-92/B-01707 oraz PN-EN 1610:2002. Stosowane rury i kształtki powinny posiadać wymagane atesty i aprobaty techniczne. </w:t>
      </w:r>
      <w:r>
        <w:rPr>
          <w:rFonts w:cs="Arial"/>
          <w:color w:val="auto"/>
          <w:szCs w:val="22"/>
          <w:lang w:eastAsia="ar-SA"/>
        </w:rPr>
        <w:t xml:space="preserve">Ułożone przewody kanalizacji przed zasypaniem należy zgłosić do pomiaru geodezyjnego i odbioru technicznego. </w:t>
      </w:r>
    </w:p>
    <w:p>
      <w:pPr>
        <w:pStyle w:val="Normal"/>
        <w:rPr>
          <w:rFonts w:cs="Arial"/>
          <w:color w:val="auto"/>
          <w:szCs w:val="22"/>
          <w:lang w:eastAsia="ar-SA"/>
        </w:rPr>
      </w:pPr>
      <w:r>
        <w:rPr>
          <w:rFonts w:cs="Arial"/>
          <w:color w:val="auto"/>
          <w:szCs w:val="22"/>
          <w:lang w:eastAsia="ar-SA"/>
        </w:rPr>
      </w:r>
    </w:p>
    <w:p>
      <w:pPr>
        <w:pStyle w:val="Normal"/>
        <w:rPr>
          <w:color w:val="auto"/>
        </w:rPr>
      </w:pPr>
      <w:r>
        <w:rPr>
          <w:rFonts w:cs="Times New Roman"/>
          <w:b/>
          <w:bCs/>
          <w:color w:val="auto"/>
          <w:szCs w:val="22"/>
          <w:lang w:eastAsia="ar-SA"/>
        </w:rPr>
        <w:t xml:space="preserve">Ilość </w:t>
      </w:r>
      <w:r>
        <w:rPr>
          <w:rFonts w:cs="Arial"/>
          <w:b/>
          <w:bCs/>
          <w:color w:val="auto"/>
          <w:szCs w:val="22"/>
          <w:lang w:eastAsia="ar-SA"/>
        </w:rPr>
        <w:t>wód opadowych</w:t>
      </w:r>
      <w:r>
        <w:rPr>
          <w:rFonts w:cs="Times New Roman"/>
          <w:b/>
          <w:bCs/>
          <w:color w:val="auto"/>
          <w:szCs w:val="22"/>
          <w:lang w:eastAsia="ar-SA"/>
        </w:rPr>
        <w:t xml:space="preserve"> odprowadzanych z terenu projektowanej stacji paliw wyniesie: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cs="Times New Roman"/>
          <w:color w:val="auto"/>
          <w:szCs w:val="22"/>
        </w:rPr>
        <w:t xml:space="preserve">Q = </w:t>
      </w:r>
      <w:r>
        <w:rPr>
          <w:rFonts w:cs="Arial"/>
          <w:color w:val="auto"/>
          <w:szCs w:val="22"/>
          <w:lang w:eastAsia="ar-SA"/>
        </w:rPr>
        <w:t>35,5</w:t>
      </w:r>
      <w:r>
        <w:rPr>
          <w:rFonts w:cs="Arial"/>
          <w:color w:val="auto"/>
          <w:szCs w:val="22"/>
        </w:rPr>
        <w:t xml:space="preserve"> dm</w:t>
      </w:r>
      <w:r>
        <w:rPr>
          <w:rFonts w:cs="Arial"/>
          <w:color w:val="auto"/>
          <w:szCs w:val="22"/>
          <w:vertAlign w:val="superscript"/>
        </w:rPr>
        <w:t>3</w:t>
      </w:r>
      <w:r>
        <w:rPr>
          <w:rFonts w:cs="Arial"/>
          <w:color w:val="auto"/>
          <w:szCs w:val="22"/>
        </w:rPr>
        <w:t>/s</w:t>
      </w:r>
    </w:p>
    <w:p>
      <w:pPr>
        <w:pStyle w:val="Heading2"/>
        <w:rPr>
          <w:color w:val="auto"/>
        </w:rPr>
      </w:pPr>
      <w:bookmarkStart w:id="8" w:name="__RefHeading___Toc2729_2424461911"/>
      <w:bookmarkEnd w:id="8"/>
      <w:r>
        <w:rPr>
          <w:iCs w:val="false"/>
          <w:color w:val="auto"/>
        </w:rPr>
        <w:t>PRZYŁĄCZE GAZU</w:t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i w:val="false"/>
          <w:color w:val="000000"/>
          <w:sz w:val="22"/>
          <w:szCs w:val="22"/>
          <w:shd w:fill="auto" w:val="clear"/>
          <w:lang w:eastAsia="ar-SA"/>
        </w:rPr>
        <w:t xml:space="preserve">Do projektowanego pawilonu stacji paliw gaz będzie doprowadzony </w:t>
      </w:r>
      <w:r>
        <w:rPr>
          <w:rFonts w:eastAsia="Times New Roman" w:cs="Arial"/>
          <w:b w:val="false"/>
          <w:bCs w:val="false"/>
          <w:i w:val="false"/>
          <w:color w:val="000000"/>
          <w:sz w:val="22"/>
          <w:szCs w:val="22"/>
          <w:shd w:fill="auto" w:val="clear"/>
          <w:lang w:val="pl-PL" w:eastAsia="ar-SA" w:bidi="ar-SA"/>
        </w:rPr>
        <w:t>z istniejącej sieci gazowej poprzez projektowane wg odrębnego opracowania</w:t>
      </w:r>
      <w:r>
        <w:rPr>
          <w:rFonts w:eastAsia="Times New Roman" w:cs="Times New Roman"/>
          <w:b w:val="false"/>
          <w:bCs w:val="false"/>
          <w:i w:val="false"/>
          <w:color w:val="000000"/>
          <w:sz w:val="22"/>
          <w:szCs w:val="22"/>
          <w:shd w:fill="auto" w:val="clear"/>
          <w:lang w:val="pl-PL" w:eastAsia="zxx" w:bidi="ar-SA"/>
        </w:rPr>
        <w:t xml:space="preserve"> przyłącze gazowe doprowadzone do projektowanego budynku</w:t>
      </w:r>
      <w:r>
        <w:rPr>
          <w:rFonts w:cs="Arial"/>
          <w:b w:val="false"/>
          <w:bCs w:val="false"/>
          <w:i w:val="false"/>
          <w:color w:val="000000"/>
          <w:sz w:val="22"/>
          <w:szCs w:val="22"/>
          <w:shd w:fill="auto" w:val="clear"/>
          <w:lang w:eastAsia="ar-SA"/>
        </w:rPr>
        <w:t xml:space="preserve">. </w:t>
      </w:r>
    </w:p>
    <w:p>
      <w:pPr>
        <w:pStyle w:val="Normal"/>
        <w:spacing w:lineRule="atLeast" w:line="10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Na wejściu przyłącza do budynku, na ścianie zewnętrznej, zostanie zamontowana szafka gazowa, 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>projektowana wg odrębnego opracowania,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 na zawór główny, reduktor i gazomierz.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Nad nią zamontowana będzie dodatkowa szafka gazowa o wymiarach 40x40x20cm na zawór odcinający kulowy do gazu i zawór elektromagnetyczny systemu detekcji gazu. </w:t>
      </w:r>
    </w:p>
    <w:p>
      <w:pPr>
        <w:pStyle w:val="Normal"/>
        <w:spacing w:lineRule="atLeast" w:line="10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color w:val="000000"/>
          <w:sz w:val="22"/>
          <w:szCs w:val="22"/>
          <w:shd w:fill="auto" w:val="clear"/>
          <w:lang w:val="pl-PL" w:eastAsia="zxx" w:bidi="ar-SA"/>
        </w:rPr>
        <w:t xml:space="preserve">Gaz przeznaczony będzie do celów ogrzewania pomieszczeń i przygotowania cwu. </w:t>
      </w:r>
    </w:p>
    <w:p>
      <w:pPr>
        <w:pStyle w:val="Heading2"/>
        <w:rPr>
          <w:iCs w:val="false"/>
        </w:rPr>
      </w:pPr>
      <w:bookmarkStart w:id="9" w:name="__RefHeading___Toc2731_2424461911"/>
      <w:bookmarkEnd w:id="9"/>
      <w:r>
        <w:rPr>
          <w:iCs w:val="false"/>
        </w:rPr>
        <w:t>WYKOPY I SZALOWANIE</w:t>
      </w:r>
    </w:p>
    <w:p>
      <w:pPr>
        <w:pStyle w:val="Normal"/>
        <w:rPr>
          <w:lang w:eastAsia="ar-SA"/>
        </w:rPr>
      </w:pPr>
      <w:r>
        <w:rPr>
          <w:lang w:eastAsia="ar-SA"/>
        </w:rPr>
        <w:t>Roboty ziemne wykonać zgodnie z normą PrPN-B-10736, a roboty ziemne związane z odbudową dróg wg PN-S-02205:1998 (ICS 93.080.10).</w:t>
      </w:r>
    </w:p>
    <w:p>
      <w:pPr>
        <w:pStyle w:val="Normal"/>
        <w:rPr>
          <w:lang w:eastAsia="ar-SA"/>
        </w:rPr>
      </w:pPr>
      <w:r>
        <w:rPr>
          <w:lang w:eastAsia="ar-SA"/>
        </w:rPr>
        <w:t xml:space="preserve">Wykonawca robót powinien zapoznać się z załączonymi do projektu budowlanego uzgodnieniami. Przed przystąpieniem do wykonywania robót ziemnych należy wytyczyć oś trasy rurociągu. Teren objęty robotami ogrodzić i oznakować. O prowadzeniu prac w pobliżu istniejącego uzbrojenia podziemnego powiadomić jego właściciela, roboty prowadzić pod jego nadzorem. </w:t>
      </w:r>
    </w:p>
    <w:p>
      <w:pPr>
        <w:pStyle w:val="Normal"/>
        <w:rPr>
          <w:lang w:eastAsia="ar-SA"/>
        </w:rPr>
      </w:pPr>
      <w:r>
        <w:rPr>
          <w:lang w:eastAsia="ar-SA"/>
        </w:rPr>
      </w:r>
    </w:p>
    <w:p>
      <w:pPr>
        <w:pStyle w:val="Normal"/>
        <w:rPr>
          <w:lang w:eastAsia="ar-SA"/>
        </w:rPr>
      </w:pPr>
      <w:r>
        <w:rPr>
          <w:lang w:eastAsia="ar-SA"/>
        </w:rPr>
        <w:t xml:space="preserve">Wykopy przy włączeniu do sieci wodociągowej oraz w miejscach występowania uzbrojenia podziemnego należy wykonywać ręcznie. Wykopy o ścianach pionowych, szalowanie ścian wykopu systemowe z rozporami np. SBH, zamiennie można szalować palami szalunkowymi KS 3,25 (wypraski), pozostałe wykopy wykonywać mechanicznie. Rozparcie wykopów powinno być pewne i stateczne w każdej fazie jego wykonywania. W czasie realizacji budowy sprawdzać stateczność wykonanego zabezpieczenia, a w przypadkach koniecznych odpowiednio je wzmacniać. Przeglądu zabezpieczeń dokonywać między innymi po większych opadach atmosferycznych (możliwość wymycia gruntu rodzimego). </w:t>
      </w:r>
    </w:p>
    <w:p>
      <w:pPr>
        <w:pStyle w:val="Normal"/>
        <w:rPr>
          <w:lang w:eastAsia="ar-SA"/>
        </w:rPr>
      </w:pPr>
      <w:r>
        <w:rPr>
          <w:lang w:eastAsia="ar-SA"/>
        </w:rPr>
        <w:t xml:space="preserve">Ostatnią warstwę gruntu w wykopie o grubości 0,1 m zdjąć ręcznie bez naruszania gruntu rodzimego. Dno wykopu wyrównać ręcznie. W razie naruszenia gruntu rodzimego powierzchnię dna zagęścić. W gruntach innych niż piaszczyste wykonać podsypkę z piasku grubości 15-20 cm i zagęścić. </w:t>
      </w:r>
    </w:p>
    <w:p>
      <w:pPr>
        <w:pStyle w:val="Normal"/>
        <w:rPr/>
      </w:pPr>
      <w:r>
        <w:rPr>
          <w:color w:val="000000"/>
          <w:lang w:eastAsia="ar-SA"/>
        </w:rPr>
        <w:t xml:space="preserve">Podłoże, na którym będą posadawiane rury, studnie i wpusty powinno być zagęszczone do min. Is = 0,98. Rury ułożone na podłożu należy obsypać piaskiem do wysokości 30 cm ponad jej zwieńczenie. Piasek zagęszczać po obu stronach rury, a następnie lekkim sprzętem zagęścić całą obsypkę.  Powyżej grunt piaszczysty zagęszczać: </w:t>
      </w:r>
    </w:p>
    <w:p>
      <w:pPr>
        <w:pStyle w:val="Normal"/>
        <w:rPr/>
      </w:pPr>
      <w:r>
        <w:rPr>
          <w:color w:val="000000"/>
          <w:lang w:eastAsia="ar-SA"/>
        </w:rPr>
        <w:t xml:space="preserve">– </w:t>
      </w:r>
      <w:r>
        <w:rPr>
          <w:color w:val="000000"/>
          <w:lang w:eastAsia="ar-SA"/>
        </w:rPr>
        <w:t xml:space="preserve">dla warstwy o grubości 1,0 m od korony zasypu – min. Is = 0,98, </w:t>
      </w:r>
    </w:p>
    <w:p>
      <w:pPr>
        <w:pStyle w:val="Normal"/>
        <w:rPr/>
      </w:pPr>
      <w:r>
        <w:rPr>
          <w:color w:val="000000"/>
          <w:lang w:eastAsia="ar-SA"/>
        </w:rPr>
        <w:t xml:space="preserve">– </w:t>
      </w:r>
      <w:r>
        <w:rPr>
          <w:color w:val="000000"/>
          <w:lang w:eastAsia="ar-SA"/>
        </w:rPr>
        <w:t xml:space="preserve">poniżej w/w warstwy – min. Is = 0,95, </w:t>
      </w:r>
    </w:p>
    <w:p>
      <w:pPr>
        <w:pStyle w:val="Normal"/>
        <w:rPr/>
      </w:pPr>
      <w:r>
        <w:rPr>
          <w:color w:val="000000"/>
          <w:lang w:eastAsia="ar-SA"/>
        </w:rPr>
        <w:t xml:space="preserve">– </w:t>
      </w:r>
      <w:r>
        <w:rPr>
          <w:color w:val="000000"/>
          <w:lang w:eastAsia="ar-SA"/>
        </w:rPr>
        <w:t xml:space="preserve">dla gruntu pod drogami min. Is = 1,00 na głębokość 1,2m ppt. </w:t>
      </w:r>
    </w:p>
    <w:p>
      <w:pPr>
        <w:pStyle w:val="Normal"/>
        <w:rPr>
          <w:lang w:eastAsia="ar-SA"/>
        </w:rPr>
      </w:pPr>
      <w:r>
        <w:rPr>
          <w:lang w:eastAsia="ar-SA"/>
        </w:rPr>
        <w:t>W obrębie rury (w obsypce) nie powinny się znajdować kamienie lub inne twarde przedmioty.</w:t>
      </w:r>
    </w:p>
    <w:p>
      <w:pPr>
        <w:pStyle w:val="Normal"/>
        <w:rPr>
          <w:lang w:eastAsia="ar-SA"/>
        </w:rPr>
      </w:pPr>
      <w:r>
        <w:rPr>
          <w:lang w:eastAsia="ar-SA"/>
        </w:rPr>
      </w:r>
    </w:p>
    <w:p>
      <w:pPr>
        <w:pStyle w:val="Normal"/>
        <w:rPr>
          <w:lang w:eastAsia="ar-SA"/>
        </w:rPr>
      </w:pPr>
      <w:r>
        <w:rPr>
          <w:lang w:eastAsia="ar-SA"/>
        </w:rPr>
        <w:t xml:space="preserve">Należy zwrócić szczególną uwagę, aby przy pracach ziemnych realizujących podziemne uzbrojenie liniowe w ciągach drogowych zasypywanie wykopów odbywało się w sposób kontrolowany. Powinno to obejmować zasypywanie z zagęszczaniem warstwowym oraz kontrolą stanu zagęszczenia zasypów. Prace te powinny być prowadzone w sposób, który przywróci podłożu gruntowemu stan nośności sprzed rozformowania gruntów nasypowych i rodzimych. Grunt wybrany należy wywieźć i zutylizować. </w:t>
      </w:r>
    </w:p>
    <w:p>
      <w:pPr>
        <w:pStyle w:val="Normal"/>
        <w:rPr>
          <w:lang w:eastAsia="ar-SA"/>
        </w:rPr>
      </w:pPr>
      <w:r>
        <w:rPr>
          <w:lang w:eastAsia="ar-SA"/>
        </w:rPr>
        <w:t xml:space="preserve">Napotkane na trasie kable lub przewody powinny być zabezpieczane przed uszkodzeniem. </w:t>
      </w:r>
    </w:p>
    <w:p>
      <w:pPr>
        <w:pStyle w:val="Normal"/>
        <w:rPr>
          <w:lang w:eastAsia="ar-SA"/>
        </w:rPr>
      </w:pPr>
      <w:r>
        <w:rPr>
          <w:lang w:eastAsia="ar-SA"/>
        </w:rPr>
        <w:t xml:space="preserve">Dla odwodnienia wykopów należy zastosować drenaż ułożony wzdłuż wykopu i studzienki, z których należy odpompowywać wodę do najbliższej studni kanalizacyjnej. </w:t>
      </w:r>
    </w:p>
    <w:p>
      <w:pPr>
        <w:pStyle w:val="Heading2"/>
        <w:rPr>
          <w:iCs w:val="false"/>
        </w:rPr>
      </w:pPr>
      <w:bookmarkStart w:id="10" w:name="__RefHeading___Toc46_848453239"/>
      <w:bookmarkEnd w:id="10"/>
      <w:r>
        <w:rPr>
          <w:iCs w:val="false"/>
        </w:rPr>
        <w:t>UWAGI</w:t>
      </w:r>
    </w:p>
    <w:p>
      <w:pPr>
        <w:pStyle w:val="Normal"/>
        <w:rPr>
          <w:lang w:eastAsia="ar-SA"/>
        </w:rPr>
      </w:pPr>
      <w:r>
        <w:rPr>
          <w:lang w:eastAsia="ar-SA"/>
        </w:rPr>
        <w:t xml:space="preserve">Wszystkie prace należy prowadzić z zachowaniem warunków BHP, tzn.: 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</w:rPr>
      </w:pPr>
      <w:r>
        <w:rPr>
          <w:rFonts w:cs="Times New Roman"/>
          <w:szCs w:val="22"/>
        </w:rPr>
        <w:t>Rozporządzeniem Ministra Infrastruktury z dnia 6.02.2003 r., w sprawie bezpieczeństwa i higieny podczas wykonywania robót budowlanych (Dz.U. Nr 47 poz. 401),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BN-83/8836-02 - Roboty ziemne - wykopy otwarte pod przewody wod-kan., 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</w:rPr>
      </w:pPr>
      <w:r>
        <w:rPr>
          <w:rFonts w:cs="Times New Roman"/>
          <w:szCs w:val="22"/>
        </w:rPr>
        <w:t>Rozporządzenie Ministra Pracy i Polityki Socjalnej z dnia 26.09.1997 w sprawie ogólnych przepisów BHP (Dz.U. nr 129 poz. 844),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</w:rPr>
      </w:pPr>
      <w:r>
        <w:rPr>
          <w:rFonts w:cs="Times New Roman"/>
          <w:szCs w:val="22"/>
        </w:rPr>
        <w:t>PN-B-10736/1999 – roboty ziemne – wykopy otwarte pod przewody wod-kan,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</w:rPr>
      </w:pPr>
      <w:r>
        <w:rPr>
          <w:rFonts w:cs="Times New Roman"/>
          <w:szCs w:val="22"/>
        </w:rPr>
        <w:t>Rozporządzenie MGPiB z dnia 01.10.1993 w sprawie zasad BHP przy eksploatacji, remontach i konserwacji sieci kanalizacyjnych (Dz.U. nr 96 poz. 437).</w:t>
      </w:r>
    </w:p>
    <w:p>
      <w:pPr>
        <w:pStyle w:val="Normal"/>
        <w:rPr>
          <w:lang w:eastAsia="ar-SA"/>
        </w:rPr>
      </w:pPr>
      <w:r>
        <w:rPr>
          <w:lang w:eastAsia="ar-SA"/>
        </w:rPr>
      </w:r>
    </w:p>
    <w:p>
      <w:pPr>
        <w:pStyle w:val="Normal"/>
        <w:rPr>
          <w:lang w:eastAsia="ar-SA"/>
        </w:rPr>
      </w:pPr>
      <w:r>
        <w:rPr>
          <w:lang w:eastAsia="ar-SA"/>
        </w:rPr>
        <w:t>Wykopy powinny być oszalowane i zabezpieczone przed dostępem osób niepowołanych oraz oznakowane. W nocy oświetlone. Na terenie budowy powinna się znajdować podręczna apteczka z wyposażeniem umożliwiającym udzielenie pierwszej pomocy w razie wypadku. Pracownicy zatrudnieni przy budowie sieci powinni być przeszkoleni w zakresie BHP odnośnie robót ziemnych.</w:t>
      </w:r>
    </w:p>
    <w:p>
      <w:pPr>
        <w:pStyle w:val="Normal"/>
        <w:rPr>
          <w:lang w:eastAsia="ar-SA"/>
        </w:rPr>
      </w:pPr>
      <w:r>
        <w:rPr>
          <w:lang w:eastAsia="ar-SA"/>
        </w:rPr>
      </w:r>
    </w:p>
    <w:p>
      <w:pPr>
        <w:pStyle w:val="Normal"/>
        <w:rPr>
          <w:rFonts w:cs="Arial"/>
          <w:szCs w:val="22"/>
          <w:lang w:eastAsia="ar-SA"/>
        </w:rPr>
      </w:pPr>
      <w:r>
        <w:rPr>
          <w:rFonts w:cs="Arial"/>
          <w:szCs w:val="22"/>
          <w:lang w:eastAsia="ar-SA"/>
        </w:rPr>
        <w:t>Wykonanie i odbiór poszczególnych etapów zamierzenia musi być zgodne z: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szCs w:val="22"/>
        </w:rPr>
        <w:t>W</w:t>
      </w:r>
      <w:r>
        <w:rPr>
          <w:rFonts w:cs="Arial"/>
          <w:color w:val="000000"/>
          <w:szCs w:val="22"/>
          <w:lang w:eastAsia="ar-SA"/>
        </w:rPr>
        <w:t>arunkami technicznymi wykonania i odbioru - tom II - Instalacje sanitarne,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szCs w:val="22"/>
        </w:rPr>
        <w:t>W</w:t>
      </w:r>
      <w:r>
        <w:rPr>
          <w:rFonts w:cs="Arial"/>
          <w:color w:val="000000"/>
          <w:szCs w:val="22"/>
          <w:lang w:eastAsia="ar-SA"/>
        </w:rPr>
        <w:t>arunkami technicznymi wykonania i odbioru rurociągów z tworzyw sztucznych,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</w:rPr>
      </w:pPr>
      <w:r>
        <w:rPr>
          <w:rFonts w:cs="Times New Roman"/>
          <w:szCs w:val="22"/>
        </w:rPr>
        <w:t>Warunkami technicznymi wykonania i odbioru sieci kanalizacyjnych, zeszyt 9 Cobrti Instal,</w:t>
      </w:r>
    </w:p>
    <w:p>
      <w:pPr>
        <w:pStyle w:val="Normal"/>
        <w:numPr>
          <w:ilvl w:val="0"/>
          <w:numId w:val="3"/>
        </w:numPr>
        <w:rPr>
          <w:rFonts w:cs="Arial"/>
          <w:color w:val="000000"/>
          <w:szCs w:val="22"/>
          <w:lang w:eastAsia="ar-SA"/>
        </w:rPr>
      </w:pPr>
      <w:r>
        <w:rPr>
          <w:rFonts w:cs="Arial"/>
          <w:color w:val="000000"/>
          <w:szCs w:val="22"/>
          <w:lang w:eastAsia="ar-SA"/>
        </w:rPr>
        <w:t>Warunkami technicznymi wykonania i odbioru sieci wodociągowych, zeszyt 3 Cobrti Instal,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szCs w:val="22"/>
        </w:rPr>
        <w:t>In</w:t>
      </w:r>
      <w:r>
        <w:rPr>
          <w:rFonts w:cs="Arial"/>
          <w:color w:val="000000"/>
          <w:szCs w:val="22"/>
          <w:lang w:eastAsia="ar-SA"/>
        </w:rPr>
        <w:t>strukcjami producentów rur i urządzeń</w:t>
      </w:r>
      <w:r>
        <w:rPr>
          <w:rFonts w:cs="Times New Roman"/>
          <w:szCs w:val="22"/>
        </w:rPr>
        <w:t>.</w:t>
      </w:r>
    </w:p>
    <w:p>
      <w:pPr>
        <w:pStyle w:val="Normal"/>
        <w:rPr>
          <w:rFonts w:cs="Arial"/>
          <w:color w:val="000000"/>
          <w:szCs w:val="22"/>
          <w:lang w:eastAsia="ar-SA"/>
        </w:rPr>
      </w:pPr>
      <w:r>
        <w:rPr>
          <w:rFonts w:cs="Arial"/>
          <w:color w:val="000000"/>
          <w:szCs w:val="22"/>
          <w:lang w:eastAsia="ar-SA"/>
        </w:rPr>
      </w:r>
    </w:p>
    <w:p>
      <w:pPr>
        <w:pStyle w:val="Normal"/>
        <w:rPr>
          <w:rFonts w:cs="Arial"/>
          <w:color w:val="000000"/>
          <w:szCs w:val="22"/>
          <w:lang w:eastAsia="ar-SA"/>
        </w:rPr>
      </w:pPr>
      <w:r>
        <w:rPr>
          <w:rFonts w:cs="Arial"/>
          <w:color w:val="000000"/>
          <w:szCs w:val="22"/>
          <w:lang w:eastAsia="ar-SA"/>
        </w:rPr>
        <w:t xml:space="preserve">Ewentualne, konieczne i uzasadnione zmiany dopuszcza się wyłącznie za zgodą Projektanta i Inwestora na podstawie dokumentacji zamiennej lub w trakcie realizacji na podstawie wpisów do dziennika budowy. </w:t>
      </w:r>
    </w:p>
    <w:p>
      <w:pPr>
        <w:pStyle w:val="Normal"/>
        <w:rPr>
          <w:rFonts w:cs="Arial"/>
          <w:color w:val="000000"/>
          <w:szCs w:val="22"/>
          <w:lang w:eastAsia="ar-SA"/>
        </w:rPr>
      </w:pPr>
      <w:r>
        <w:rPr>
          <w:rFonts w:cs="Arial"/>
          <w:color w:val="000000"/>
          <w:szCs w:val="22"/>
          <w:lang w:eastAsia="ar-SA"/>
        </w:rPr>
        <w:t xml:space="preserve">Do budowy mogą być wykorzystywane wyłącznie materiały budowlane i wykończeniowe posiadające niezbędne w Polsce atesty i dopuszczenia do stosowania w budownictwie. Niesprecyzowane w niniejszym opracowaniu typy materiałów budowlanych należy uściślić przed zakupem w porozumieniu z doradztwem technicznym producenta bądź dostawcy. Ściśle przestrzegać instrukcji użycia materiałów budowlanych i wykończeniowych podanych przez producenta lub dostawcę. </w:t>
      </w:r>
    </w:p>
    <w:p>
      <w:pPr>
        <w:pStyle w:val="Normal"/>
        <w:tabs>
          <w:tab w:val="clear" w:pos="720"/>
          <w:tab w:val="left" w:pos="360" w:leader="none"/>
        </w:tabs>
        <w:spacing w:lineRule="atLeast" w:line="10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W przypadku wystąpienia dodatkowych kolizji lub zmiany zagłębienia przyłącza rozwiązanie techniczne uzgodnić z Projektantem. </w:t>
      </w:r>
    </w:p>
    <w:p>
      <w:pPr>
        <w:pStyle w:val="Normal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Prace budowlane prowadzić zgodnie z projektem, obowiązującymi przepisami, sztuką budowlaną, współczesną wiedzą techniczną, pod nadzorem wykwalifikowanych i uprawnionych osób przestrzegając obowiązujących przepisów BHP. </w:t>
      </w:r>
    </w:p>
    <w:p>
      <w:pPr>
        <w:pStyle w:val="Normal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Po zakończeniu prac teren należy doprowadzić do stanu pierwotnego. </w:t>
      </w:r>
    </w:p>
    <w:p>
      <w:pPr>
        <w:pStyle w:val="Normal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Nie wyklucza się istnienia w terenie innych nie wykazanych na mapie urządzeń podziemnych, które nie zostały zgłoszone do inwentaryzacji geodezyjnej. </w:t>
      </w:r>
    </w:p>
    <w:p>
      <w:pPr>
        <w:pStyle w:val="Normal"/>
        <w:rPr>
          <w:rFonts w:cs="Times New Roman"/>
          <w:szCs w:val="22"/>
        </w:rPr>
      </w:pPr>
      <w:r>
        <w:rPr>
          <w:rFonts w:cs="Times New Roman"/>
          <w:szCs w:val="22"/>
        </w:rPr>
      </w:r>
    </w:p>
    <w:p>
      <w:pPr>
        <w:pStyle w:val="Normal"/>
        <w:rPr>
          <w:rFonts w:cs="Times New Roman"/>
          <w:szCs w:val="22"/>
        </w:rPr>
      </w:pPr>
      <w:r>
        <w:rPr>
          <w:rFonts w:cs="Times New Roman"/>
          <w:szCs w:val="22"/>
        </w:rPr>
      </w:r>
    </w:p>
    <w:p>
      <w:pPr>
        <w:pStyle w:val="Normal"/>
        <w:rPr>
          <w:rFonts w:cs="Times New Roman"/>
          <w:szCs w:val="22"/>
        </w:rPr>
      </w:pPr>
      <w:r>
        <w:rPr>
          <w:rFonts w:cs="Times New Roman"/>
          <w:szCs w:val="22"/>
        </w:rPr>
      </w:r>
    </w:p>
    <w:p>
      <w:pPr>
        <w:pStyle w:val="Normal"/>
        <w:jc w:val="right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Opracowanie:</w:t>
      </w:r>
    </w:p>
    <w:p>
      <w:pPr>
        <w:pStyle w:val="List"/>
        <w:jc w:val="right"/>
        <w:rPr>
          <w:rFonts w:cs="Arial"/>
          <w:szCs w:val="22"/>
        </w:rPr>
      </w:pPr>
      <w:r>
        <w:rPr>
          <w:rFonts w:cs="Arial"/>
          <w:szCs w:val="22"/>
        </w:rPr>
        <w:t>mgr inż. Elżbieta Bester</w:t>
      </w:r>
    </w:p>
    <w:p>
      <w:pPr>
        <w:pStyle w:val="Normal"/>
        <w:rPr>
          <w:rFonts w:cs="Times New Roman"/>
          <w:szCs w:val="22"/>
        </w:rPr>
      </w:pPr>
      <w:r>
        <w:rPr>
          <w:rFonts w:cs="Times New Roman"/>
          <w:szCs w:val="22"/>
        </w:rPr>
      </w:r>
    </w:p>
    <w:sectPr>
      <w:footerReference w:type="even" r:id="rId2"/>
      <w:footerReference w:type="default" r:id="rId3"/>
      <w:type w:val="nextPage"/>
      <w:pgSz w:w="11906" w:h="16838"/>
      <w:pgMar w:left="1417" w:right="1134" w:gutter="0" w:header="0" w:top="907" w:footer="680" w:bottom="109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Wingdings 2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upperRoman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Heading2"/>
      <w:numFmt w:val="decimal"/>
      <w:lvlText w:val="%2.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Heading3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i w:val="false"/>
        <w:b/>
        <w:iCs w:val="false"/>
      </w:rPr>
    </w:lvl>
    <w:lvl w:ilvl="3">
      <w:start w:val="1"/>
      <w:pStyle w:val="Heading4"/>
      <w:numFmt w:val="decimal"/>
      <w:lvlText w:val="%2.%3.%4."/>
      <w:lvlJc w:val="left"/>
      <w:pPr>
        <w:tabs>
          <w:tab w:val="num" w:pos="1134"/>
        </w:tabs>
        <w:ind w:left="1134" w:hanging="1134"/>
      </w:pPr>
      <w:rPr>
        <w:b/>
        <w:bCs/>
      </w:rPr>
    </w:lvl>
    <w:lvl w:ilvl="4">
      <w:start w:val="1"/>
      <w:pStyle w:val="Heading5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Heading7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Heading8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Heading9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/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2.%3.%4."/>
      <w:lvlJc w:val="left"/>
      <w:pPr>
        <w:tabs>
          <w:tab w:val="num" w:pos="1134"/>
        </w:tabs>
        <w:ind w:left="1134" w:hanging="1134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  <w:i w:val="false"/>
        <w:u w:val="none"/>
        <w:b w:val="false"/>
        <w:shd w:fill="auto" w:val="clear"/>
        <w:szCs w:val="22"/>
        <w:color w:val="000000"/>
        <w:lang w:val="pl-PL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hyphenationZone w:val="425"/>
  <w:evenAndOddHeaders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both"/>
    </w:pPr>
    <w:rPr>
      <w:rFonts w:ascii="Arial" w:hAnsi="Arial" w:eastAsia="Times New Roman" w:cs="Calibri"/>
      <w:color w:val="auto"/>
      <w:kern w:val="0"/>
      <w:sz w:val="22"/>
      <w:szCs w:val="24"/>
      <w:lang w:val="pl-PL" w:eastAsia="zh-CN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numPr>
        <w:ilvl w:val="0"/>
        <w:numId w:val="1"/>
      </w:numPr>
      <w:spacing w:before="240" w:after="60"/>
      <w:outlineLvl w:val="0"/>
    </w:pPr>
    <w:rPr>
      <w:rFonts w:cs="Arial"/>
      <w:b/>
      <w:bCs/>
      <w:kern w:val="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 w:val="true"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numPr>
        <w:ilvl w:val="3"/>
        <w:numId w:val="1"/>
      </w:numPr>
      <w:spacing w:before="240" w:after="60"/>
      <w:outlineLvl w:val="3"/>
    </w:pPr>
    <w:rPr>
      <w:bCs/>
      <w:szCs w:val="28"/>
    </w:rPr>
  </w:style>
  <w:style w:type="paragraph" w:styleId="Heading5">
    <w:name w:val="Heading 5"/>
    <w:basedOn w:val="Header"/>
    <w:next w:val="BodyText"/>
    <w:uiPriority w:val="9"/>
    <w:semiHidden/>
    <w:unhideWhenUsed/>
    <w:qFormat/>
    <w:pPr>
      <w:numPr>
        <w:ilvl w:val="4"/>
        <w:numId w:val="1"/>
      </w:numPr>
      <w:outlineLvl w:val="4"/>
    </w:pPr>
    <w:rPr>
      <w:b/>
      <w:bCs/>
      <w:sz w:val="24"/>
    </w:rPr>
  </w:style>
  <w:style w:type="paragraph" w:styleId="Heading6">
    <w:name w:val="Heading 6"/>
    <w:basedOn w:val="Header"/>
    <w:next w:val="BodyText"/>
    <w:uiPriority w:val="9"/>
    <w:semiHidden/>
    <w:unhideWhenUsed/>
    <w:qFormat/>
    <w:pPr>
      <w:numPr>
        <w:ilvl w:val="5"/>
        <w:numId w:val="1"/>
      </w:numPr>
      <w:spacing w:before="60" w:after="60"/>
      <w:ind w:hanging="0" w:left="0"/>
      <w:outlineLvl w:val="5"/>
    </w:pPr>
    <w:rPr>
      <w:b/>
      <w:bCs/>
      <w:i/>
      <w:iCs/>
      <w:sz w:val="24"/>
    </w:rPr>
  </w:style>
  <w:style w:type="paragraph" w:styleId="Heading7">
    <w:name w:val="Heading 7"/>
    <w:basedOn w:val="Header"/>
    <w:next w:val="BodyText"/>
    <w:qFormat/>
    <w:pPr>
      <w:numPr>
        <w:ilvl w:val="6"/>
        <w:numId w:val="1"/>
      </w:numPr>
      <w:spacing w:before="60" w:after="60"/>
      <w:ind w:hanging="0" w:left="0"/>
      <w:outlineLvl w:val="6"/>
    </w:pPr>
    <w:rPr>
      <w:b/>
      <w:bCs/>
      <w:szCs w:val="22"/>
    </w:rPr>
  </w:style>
  <w:style w:type="paragraph" w:styleId="Heading8">
    <w:name w:val="Heading 8"/>
    <w:basedOn w:val="Header"/>
    <w:next w:val="BodyText"/>
    <w:qFormat/>
    <w:pPr>
      <w:numPr>
        <w:ilvl w:val="7"/>
        <w:numId w:val="1"/>
      </w:numPr>
      <w:spacing w:before="60" w:after="60"/>
      <w:ind w:hanging="0" w:left="0"/>
      <w:outlineLvl w:val="7"/>
    </w:pPr>
    <w:rPr>
      <w:b/>
      <w:bCs/>
      <w:i/>
      <w:iCs/>
      <w:szCs w:val="22"/>
    </w:rPr>
  </w:style>
  <w:style w:type="paragraph" w:styleId="Heading9">
    <w:name w:val="Heading 9"/>
    <w:basedOn w:val="Header"/>
    <w:next w:val="BodyText"/>
    <w:qFormat/>
    <w:pPr>
      <w:numPr>
        <w:ilvl w:val="8"/>
        <w:numId w:val="1"/>
      </w:numPr>
      <w:spacing w:before="60" w:after="60"/>
      <w:ind w:hanging="0" w:left="0"/>
      <w:outlineLvl w:val="8"/>
    </w:pPr>
    <w:rPr>
      <w:b/>
      <w:b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>
      <w:i w:val="false"/>
      <w:iCs w:val="false"/>
    </w:rPr>
  </w:style>
  <w:style w:type="character" w:styleId="WW8Num1z3" w:customStyle="1">
    <w:name w:val="WW8Num1z3"/>
    <w:qFormat/>
    <w:rPr>
      <w:b/>
      <w:bCs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>
      <w:b/>
      <w:bCs/>
    </w:rPr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Arial" w:hAnsi="Arial" w:eastAsia="Times New Roman" w:cs="Arial"/>
      <w:b w:val="false"/>
      <w:i w:val="false"/>
      <w:color w:val="000000"/>
      <w:sz w:val="24"/>
      <w:szCs w:val="22"/>
      <w:u w:val="none"/>
      <w:shd w:fill="auto" w:val="clear"/>
      <w:lang w:val="pl-PL" w:bidi="ar-SA"/>
    </w:rPr>
  </w:style>
  <w:style w:type="character" w:styleId="Absatz-Standardschriftart" w:customStyle="1">
    <w:name w:val="Absatz-Standardschriftart"/>
    <w:qFormat/>
    <w:rPr/>
  </w:style>
  <w:style w:type="character" w:styleId="WW-Absatz-Standardschriftart" w:customStyle="1">
    <w:name w:val="WW-Absatz-Standardschriftart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11" w:customStyle="1">
    <w:name w:val="WW-Absatz-Standardschriftart11"/>
    <w:qFormat/>
    <w:rPr/>
  </w:style>
  <w:style w:type="character" w:styleId="WW-Absatz-Standardschriftart111" w:customStyle="1">
    <w:name w:val="WW-Absatz-Standardschriftart111"/>
    <w:qFormat/>
    <w:rPr/>
  </w:style>
  <w:style w:type="character" w:styleId="WW-Absatz-Standardschriftart1111" w:customStyle="1">
    <w:name w:val="WW-Absatz-Standardschriftart1111"/>
    <w:qFormat/>
    <w:rPr/>
  </w:style>
  <w:style w:type="character" w:styleId="WW-Absatz-Standardschriftart11111" w:customStyle="1">
    <w:name w:val="WW-Absatz-Standardschriftart11111"/>
    <w:qFormat/>
    <w:rPr/>
  </w:style>
  <w:style w:type="character" w:styleId="WW-Absatz-Standardschriftart111111" w:customStyle="1">
    <w:name w:val="WW-Absatz-Standardschriftart111111"/>
    <w:qFormat/>
    <w:rPr/>
  </w:style>
  <w:style w:type="character" w:styleId="WW-Absatz-Standardschriftart1111111" w:customStyle="1">
    <w:name w:val="WW-Absatz-Standardschriftart1111111"/>
    <w:qFormat/>
    <w:rPr/>
  </w:style>
  <w:style w:type="character" w:styleId="WW-Absatz-Standardschriftart11111111" w:customStyle="1">
    <w:name w:val="WW-Absatz-Standardschriftart11111111"/>
    <w:qFormat/>
    <w:rPr/>
  </w:style>
  <w:style w:type="character" w:styleId="WW-Absatz-Standardschriftart111111111" w:customStyle="1">
    <w:name w:val="WW-Absatz-Standardschriftart111111111"/>
    <w:qFormat/>
    <w:rPr/>
  </w:style>
  <w:style w:type="character" w:styleId="WW-Absatz-Standardschriftart1111111111" w:customStyle="1">
    <w:name w:val="WW-Absatz-Standardschriftart1111111111"/>
    <w:qFormat/>
    <w:rPr/>
  </w:style>
  <w:style w:type="character" w:styleId="WW-Absatz-Standardschriftart11111111111" w:customStyle="1">
    <w:name w:val="WW-Absatz-Standardschriftart11111111111"/>
    <w:qFormat/>
    <w:rPr/>
  </w:style>
  <w:style w:type="character" w:styleId="WW-Absatz-Standardschriftart111111111111" w:customStyle="1">
    <w:name w:val="WW-Absatz-Standardschriftart111111111111"/>
    <w:qFormat/>
    <w:rPr/>
  </w:style>
  <w:style w:type="character" w:styleId="WW-Absatz-Standardschriftart1111111111111" w:customStyle="1">
    <w:name w:val="WW-Absatz-Standardschriftart1111111111111"/>
    <w:qFormat/>
    <w:rPr/>
  </w:style>
  <w:style w:type="character" w:styleId="WW-Absatz-Standardschriftart11111111111111" w:customStyle="1">
    <w:name w:val="WW-Absatz-Standardschriftart11111111111111"/>
    <w:qFormat/>
    <w:rPr/>
  </w:style>
  <w:style w:type="character" w:styleId="WW-Absatz-Standardschriftart111111111111111" w:customStyle="1">
    <w:name w:val="WW-Absatz-Standardschriftart111111111111111"/>
    <w:qFormat/>
    <w:rPr/>
  </w:style>
  <w:style w:type="character" w:styleId="WW-Absatz-Standardschriftart1111111111111111" w:customStyle="1">
    <w:name w:val="WW-Absatz-Standardschriftart1111111111111111"/>
    <w:qFormat/>
    <w:rPr/>
  </w:style>
  <w:style w:type="character" w:styleId="WW-Absatz-Standardschriftart11111111111111111" w:customStyle="1">
    <w:name w:val="WW-Absatz-Standardschriftart11111111111111111"/>
    <w:qFormat/>
    <w:rPr/>
  </w:style>
  <w:style w:type="character" w:styleId="WW-Absatz-Standardschriftart111111111111111111" w:customStyle="1">
    <w:name w:val="WW-Absatz-Standardschriftart111111111111111111"/>
    <w:qFormat/>
    <w:rPr/>
  </w:style>
  <w:style w:type="character" w:styleId="WW-Absatz-Standardschriftart1111111111111111111" w:customStyle="1">
    <w:name w:val="WW-Absatz-Standardschriftart1111111111111111111"/>
    <w:qFormat/>
    <w:rPr/>
  </w:style>
  <w:style w:type="character" w:styleId="WW-Absatz-Standardschriftart11111111111111111111" w:customStyle="1">
    <w:name w:val="WW-Absatz-Standardschriftart11111111111111111111"/>
    <w:qFormat/>
    <w:rPr/>
  </w:style>
  <w:style w:type="character" w:styleId="WW-Absatz-Standardschriftart111111111111111111111" w:customStyle="1">
    <w:name w:val="WW-Absatz-Standardschriftart111111111111111111111"/>
    <w:qFormat/>
    <w:rPr/>
  </w:style>
  <w:style w:type="character" w:styleId="WW8Num3z1" w:customStyle="1">
    <w:name w:val="WW8Num3z1"/>
    <w:qFormat/>
    <w:rPr>
      <w:rFonts w:ascii="Wingdings 2" w:hAnsi="Wingdings 2" w:cs="StarSymbol;Arial Unicode MS"/>
      <w:sz w:val="18"/>
      <w:szCs w:val="18"/>
    </w:rPr>
  </w:style>
  <w:style w:type="character" w:styleId="WW8Num3z2" w:customStyle="1">
    <w:name w:val="WW8Num3z2"/>
    <w:qFormat/>
    <w:rPr>
      <w:rFonts w:ascii="StarSymbol;Arial Unicode MS" w:hAnsi="StarSymbol;Arial Unicode MS" w:cs="StarSymbol;Arial Unicode MS"/>
      <w:sz w:val="18"/>
      <w:szCs w:val="18"/>
    </w:rPr>
  </w:style>
  <w:style w:type="character" w:styleId="WW8Num5z0" w:customStyle="1">
    <w:name w:val="WW8Num5z0"/>
    <w:qFormat/>
    <w:rPr>
      <w:rFonts w:ascii="Arial" w:hAnsi="Arial" w:eastAsia="Times New Roman" w:cs="Arial"/>
    </w:rPr>
  </w:style>
  <w:style w:type="character" w:styleId="WW8Num6z0" w:customStyle="1">
    <w:name w:val="WW8Num6z0"/>
    <w:qFormat/>
    <w:rPr>
      <w:rFonts w:ascii="Arial" w:hAnsi="Arial" w:cs="Arial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character" w:styleId="WW8Num6z3" w:customStyle="1">
    <w:name w:val="WW8Num6z3"/>
    <w:qFormat/>
    <w:rPr>
      <w:rFonts w:ascii="Symbol" w:hAnsi="Symbol" w:cs="Symbol"/>
    </w:rPr>
  </w:style>
  <w:style w:type="character" w:styleId="Nagwek1Znak" w:customStyle="1">
    <w:name w:val="Nagłówek 1 Znak"/>
    <w:basedOn w:val="DefaultParagraphFont"/>
    <w:qFormat/>
    <w:rPr>
      <w:rFonts w:ascii="Arial" w:hAnsi="Arial" w:eastAsia="Times New Roman" w:cs="Arial"/>
      <w:b/>
      <w:bCs/>
      <w:kern w:val="2"/>
      <w:szCs w:val="32"/>
    </w:rPr>
  </w:style>
  <w:style w:type="character" w:styleId="Nagwek2Znak" w:customStyle="1">
    <w:name w:val="Nagłówek 2 Znak"/>
    <w:basedOn w:val="DefaultParagraphFont"/>
    <w:qFormat/>
    <w:rPr>
      <w:rFonts w:ascii="Arial" w:hAnsi="Arial" w:eastAsia="Times New Roman" w:cs="Arial"/>
      <w:b/>
      <w:bCs/>
      <w:iCs/>
    </w:rPr>
  </w:style>
  <w:style w:type="character" w:styleId="Nagwek3Znak" w:customStyle="1">
    <w:name w:val="Nagłówek 3 Znak"/>
    <w:basedOn w:val="DefaultParagraphFont"/>
    <w:qFormat/>
    <w:rPr>
      <w:rFonts w:ascii="Arial" w:hAnsi="Arial" w:eastAsia="Times New Roman" w:cs="Arial"/>
      <w:b/>
      <w:bCs/>
      <w:i/>
      <w:szCs w:val="26"/>
    </w:rPr>
  </w:style>
  <w:style w:type="character" w:styleId="Nagwek4Znak" w:customStyle="1">
    <w:name w:val="Nagłówek 4 Znak"/>
    <w:basedOn w:val="DefaultParagraphFont"/>
    <w:qFormat/>
    <w:rPr>
      <w:rFonts w:ascii="Arial" w:hAnsi="Arial" w:eastAsia="Times New Roman" w:cs="Times New Roman"/>
      <w:bCs/>
      <w:szCs w:val="28"/>
    </w:rPr>
  </w:style>
  <w:style w:type="character" w:styleId="Znakinumeracji" w:customStyle="1">
    <w:name w:val="Znaki numeracji"/>
    <w:qFormat/>
    <w:rPr/>
  </w:style>
  <w:style w:type="character" w:styleId="Symbolewypunktowania" w:customStyle="1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Hyperlink">
    <w:name w:val="Hyperlink"/>
    <w:rPr>
      <w:color w:val="000080"/>
      <w:u w:val="single"/>
    </w:rPr>
  </w:style>
  <w:style w:type="character" w:styleId="Czeindeksu" w:customStyle="1">
    <w:name w:val="Łącze indeksu"/>
    <w:qFormat/>
    <w:rPr/>
  </w:style>
  <w:style w:type="character" w:styleId="Znakiwypunktowania" w:customStyle="1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pPr>
      <w:suppressLineNumbers/>
      <w:tabs>
        <w:tab w:val="clear" w:pos="720"/>
        <w:tab w:val="center" w:pos="4677" w:leader="none"/>
        <w:tab w:val="right" w:pos="9355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Title">
    <w:name w:val="Title"/>
    <w:basedOn w:val="Normal"/>
    <w:next w:val="Subtitle"/>
    <w:uiPriority w:val="10"/>
    <w:qFormat/>
    <w:pPr>
      <w:jc w:val="center"/>
    </w:pPr>
    <w:rPr>
      <w:b/>
      <w:sz w:val="40"/>
    </w:rPr>
  </w:style>
  <w:style w:type="paragraph" w:styleId="Nagwek1" w:customStyle="1">
    <w:name w:val="Nagłówek1"/>
    <w:basedOn w:val="Normal"/>
    <w:next w:val="BodyText"/>
    <w:qFormat/>
    <w:pPr>
      <w:keepNext w:val="true"/>
      <w:spacing w:before="240" w:after="120"/>
    </w:pPr>
    <w:rPr>
      <w:rFonts w:eastAsia="Lucida Sans Unicode" w:cs="Tahoma"/>
      <w:sz w:val="28"/>
      <w:szCs w:val="28"/>
    </w:rPr>
  </w:style>
  <w:style w:type="paragraph" w:styleId="Subtitle">
    <w:name w:val="Subtitle"/>
    <w:basedOn w:val="Nagwek1"/>
    <w:next w:val="BodyText"/>
    <w:uiPriority w:val="11"/>
    <w:qFormat/>
    <w:pPr>
      <w:jc w:val="center"/>
    </w:pPr>
    <w:rPr>
      <w:i/>
      <w:iCs/>
    </w:rPr>
  </w:style>
  <w:style w:type="paragraph" w:styleId="Footer">
    <w:name w:val="Footer"/>
    <w:basedOn w:val="Normal"/>
    <w:pPr>
      <w:suppressLineNumbers/>
      <w:tabs>
        <w:tab w:val="clear" w:pos="720"/>
        <w:tab w:val="center" w:pos="4677" w:leader="none"/>
        <w:tab w:val="right" w:pos="9355" w:leader="none"/>
      </w:tabs>
    </w:pPr>
    <w:rPr/>
  </w:style>
  <w:style w:type="paragraph" w:styleId="Indexheading">
    <w:name w:val="index heading"/>
    <w:basedOn w:val="Header"/>
    <w:qFormat/>
    <w:pPr/>
    <w:rPr>
      <w:b/>
      <w:bCs/>
      <w:sz w:val="32"/>
      <w:szCs w:val="32"/>
    </w:rPr>
  </w:style>
  <w:style w:type="paragraph" w:styleId="Toaheading">
    <w:name w:val="toa heading"/>
    <w:basedOn w:val="Header"/>
    <w:qFormat/>
    <w:pPr/>
    <w:rPr>
      <w:b/>
      <w:bCs/>
      <w:sz w:val="32"/>
      <w:szCs w:val="32"/>
    </w:rPr>
  </w:style>
  <w:style w:type="paragraph" w:styleId="TOC1">
    <w:name w:val="TOC 1"/>
    <w:basedOn w:val="Indeks"/>
    <w:pPr>
      <w:tabs>
        <w:tab w:val="clear" w:pos="720"/>
        <w:tab w:val="right" w:pos="9355" w:leader="dot"/>
      </w:tabs>
    </w:pPr>
    <w:rPr/>
  </w:style>
  <w:style w:type="paragraph" w:styleId="TOC2">
    <w:name w:val="TOC 2"/>
    <w:basedOn w:val="Indeks"/>
    <w:pPr>
      <w:tabs>
        <w:tab w:val="clear" w:pos="720"/>
        <w:tab w:val="right" w:pos="9072" w:leader="dot"/>
      </w:tabs>
      <w:ind w:left="283"/>
    </w:pPr>
    <w:rPr/>
  </w:style>
  <w:style w:type="paragraph" w:styleId="TOC3">
    <w:name w:val="TOC 3"/>
    <w:basedOn w:val="Indeks"/>
    <w:pPr>
      <w:tabs>
        <w:tab w:val="clear" w:pos="720"/>
        <w:tab w:val="right" w:pos="8789" w:leader="dot"/>
      </w:tabs>
      <w:ind w:left="566"/>
    </w:pPr>
    <w:rPr/>
  </w:style>
  <w:style w:type="paragraph" w:styleId="TOC4">
    <w:name w:val="TOC 4"/>
    <w:basedOn w:val="Indeks"/>
    <w:pPr>
      <w:tabs>
        <w:tab w:val="clear" w:pos="720"/>
        <w:tab w:val="right" w:pos="8789" w:leader="dot"/>
      </w:tabs>
      <w:ind w:left="849"/>
    </w:pPr>
    <w:rPr/>
  </w:style>
  <w:style w:type="paragraph" w:styleId="TOC5">
    <w:name w:val="TOC 5"/>
    <w:basedOn w:val="Indeks"/>
    <w:pPr>
      <w:tabs>
        <w:tab w:val="clear" w:pos="720"/>
        <w:tab w:val="right" w:pos="8506" w:leader="dot"/>
      </w:tabs>
      <w:ind w:left="1132"/>
    </w:pPr>
    <w:rPr/>
  </w:style>
  <w:style w:type="paragraph" w:styleId="TOC6">
    <w:name w:val="TOC 6"/>
    <w:basedOn w:val="Indeks"/>
    <w:pPr>
      <w:tabs>
        <w:tab w:val="clear" w:pos="720"/>
        <w:tab w:val="right" w:pos="8223" w:leader="dot"/>
      </w:tabs>
      <w:ind w:left="1415"/>
    </w:pPr>
    <w:rPr/>
  </w:style>
  <w:style w:type="paragraph" w:styleId="TOC7">
    <w:name w:val="TOC 7"/>
    <w:basedOn w:val="Indeks"/>
    <w:pPr>
      <w:tabs>
        <w:tab w:val="clear" w:pos="720"/>
        <w:tab w:val="right" w:pos="7940" w:leader="dot"/>
      </w:tabs>
      <w:ind w:left="1698"/>
    </w:pPr>
    <w:rPr/>
  </w:style>
  <w:style w:type="paragraph" w:styleId="TOC8">
    <w:name w:val="TOC 8"/>
    <w:basedOn w:val="Indeks"/>
    <w:pPr>
      <w:tabs>
        <w:tab w:val="clear" w:pos="720"/>
        <w:tab w:val="right" w:pos="7657" w:leader="dot"/>
      </w:tabs>
      <w:ind w:left="1981"/>
    </w:pPr>
    <w:rPr/>
  </w:style>
  <w:style w:type="paragraph" w:styleId="TOC9">
    <w:name w:val="TOC 9"/>
    <w:basedOn w:val="Indeks"/>
    <w:pPr>
      <w:tabs>
        <w:tab w:val="clear" w:pos="720"/>
        <w:tab w:val="right" w:pos="7374" w:leader="dot"/>
      </w:tabs>
      <w:ind w:left="2264"/>
    </w:pPr>
    <w:rPr/>
  </w:style>
  <w:style w:type="paragraph" w:styleId="Spistreci10" w:customStyle="1">
    <w:name w:val="Spis treści 10"/>
    <w:basedOn w:val="Indeks"/>
    <w:qFormat/>
    <w:pPr>
      <w:tabs>
        <w:tab w:val="clear" w:pos="720"/>
        <w:tab w:val="right" w:pos="7091" w:leader="dot"/>
      </w:tabs>
      <w:ind w:left="2547"/>
    </w:pPr>
    <w:rPr/>
  </w:style>
  <w:style w:type="paragraph" w:styleId="Tekstpodstawowy21" w:customStyle="1">
    <w:name w:val="Tekst podstawowy 21"/>
    <w:basedOn w:val="Normal"/>
    <w:qFormat/>
    <w:pPr>
      <w:jc w:val="left"/>
    </w:pPr>
    <w:rPr>
      <w:rFonts w:ascii="Times New Roman" w:hAnsi="Times New Roman" w:cs="Times New Roman"/>
      <w:sz w:val="28"/>
    </w:rPr>
  </w:style>
  <w:style w:type="paragraph" w:styleId="Nagwek10" w:customStyle="1">
    <w:name w:val="Nagłówek 10"/>
    <w:basedOn w:val="Header"/>
    <w:next w:val="BodyText"/>
    <w:qFormat/>
    <w:pPr>
      <w:numPr>
        <w:ilvl w:val="0"/>
        <w:numId w:val="2"/>
      </w:numPr>
      <w:spacing w:before="60" w:after="60"/>
      <w:ind w:hanging="0" w:left="0"/>
    </w:pPr>
    <w:rPr>
      <w:b/>
      <w:bCs/>
      <w:sz w:val="21"/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3713</TotalTime>
  <Application>LibreOffice/7.6.6.3$Windows_X86_64 LibreOffice_project/d97b2716a9a4a2ce1391dee1765565ea469b0ae7</Application>
  <AppVersion>15.0000</AppVersion>
  <Pages>9</Pages>
  <Words>3598</Words>
  <Characters>23192</Characters>
  <CharactersWithSpaces>26672</CharactersWithSpaces>
  <Paragraphs>249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2011-11-03T12:15:00Z</dcterms:created>
  <dc:creator>Elżbieta Bester</dc:creator>
  <dc:description/>
  <dc:language>pl-PL</dc:language>
  <cp:lastModifiedBy/>
  <dcterms:modified xsi:type="dcterms:W3CDTF">2026-05-27T09:24:36Z</dcterms:modified>
  <cp:revision>234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